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Intervención Delegación Argentina</w:t>
      </w:r>
    </w:p>
    <w:p w:rsidR="00000000" w:rsidDel="00000000" w:rsidP="00000000" w:rsidRDefault="00000000" w:rsidRPr="00000000" w14:paraId="00000002">
      <w:pPr>
        <w:jc w:val="both"/>
        <w:rPr>
          <w:b w:val="1"/>
          <w:bCs w:val="1"/>
        </w:rPr>
      </w:pPr>
      <w:r w:rsidDel="00000000" w:rsidR="00000000" w:rsidRPr="00000000">
        <w:rPr>
          <w:b w:val="1"/>
          <w:bCs w:val="1"/>
          <w:rtl w:val="0"/>
        </w:rPr>
        <w:t xml:space="preserve">Punto de agenda 2.a. Grupo de Trabajo sobre la Aplicación Eficaz del Tratado (WGETI)</w:t>
      </w:r>
    </w:p>
    <w:p w:rsidR="00000000" w:rsidDel="00000000" w:rsidP="00000000" w:rsidRDefault="00000000" w:rsidRPr="00000000" w14:paraId="00000003">
      <w:pPr>
        <w:jc w:val="both"/>
        <w:rPr>
          <w:b w:val="1"/>
          <w:bCs w:val="1"/>
        </w:rPr>
      </w:pPr>
      <w:r w:rsidDel="00000000" w:rsidR="00000000" w:rsidRPr="00000000">
        <w:rPr>
          <w:rtl w:val="0"/>
        </w:rPr>
      </w:r>
    </w:p>
    <w:p w:rsidR="00000000" w:rsidDel="00000000" w:rsidP="00000000" w:rsidRDefault="00000000" w:rsidRPr="00000000" w14:paraId="00000004">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Muchas gracias Sr. Presidente,</w:t>
      </w:r>
    </w:p>
    <w:p w:rsidR="00000000" w:rsidDel="00000000" w:rsidP="00000000" w:rsidRDefault="00000000" w:rsidRPr="00000000" w14:paraId="00000005">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Permítame comenzar agradeciendo sus esfuerzos para guiar nuestros trabajos en este órgano clave del Tratado. La Argentina entiende que las cuestiones vinculadas a la implementación del ATT son de suma importancia para poder cumplir con sus objetivos de fortalecer los controles al comercio internacional de armas convencionales y prevenir los desvíos. </w:t>
      </w:r>
    </w:p>
    <w:p w:rsidR="00000000" w:rsidDel="00000000" w:rsidP="00000000" w:rsidRDefault="00000000" w:rsidRPr="00000000" w14:paraId="00000006">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En ese sentido, destacamos el relevante rol de la sociedad civil y de la industria a la hora de generar conciencia sobre la importancia de una implementación efectiva del ATT y del compromiso de los Estados Parte en ello.  También es necesario generar una mayor cooperación entre los órganos de control encargados de verificar el comercio de armas y las empresas del sector, a los fines de garantizar la concienciación de la industria y el cumplimiento de los sistemas nacionales de control de las transferencias.</w:t>
      </w:r>
    </w:p>
    <w:p w:rsidR="00000000" w:rsidDel="00000000" w:rsidP="00000000" w:rsidRDefault="00000000" w:rsidRPr="00000000" w14:paraId="00000007">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A fin de  optimizar esfuerzos y energías en la plena y efectiva implementación del Tratado y de otros instrumentos afines, resulta fundamental estudiar y explorar sinergias y distintos modos de coordinación entre los mecanismos internacionales en materia de tráfico ilícito de armas de fuego y comercio de armas convencionales y municiones.</w:t>
      </w:r>
    </w:p>
    <w:p w:rsidR="00000000" w:rsidDel="00000000" w:rsidP="00000000" w:rsidRDefault="00000000" w:rsidRPr="00000000" w14:paraId="0000000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El trabajo a nivel regional y subregional tiene un papel clave para lograr una correcta y efectiva implementación del Tratado. En ese sentido, el Grupo de Trabajo sobre Armas de Fuego y Municiones del MERCOSUR y Estados Asociados (GTAFM) constituye un ámbito que permite desarrollar proyectos de cooperación e intercambio de información y, fundamentalmente, coordinar medidas conjuntas con el objetivo de combatir eficazmente el tráfico ilícito de armas de fuego. </w:t>
      </w:r>
    </w:p>
    <w:p w:rsidR="00000000" w:rsidDel="00000000" w:rsidP="00000000" w:rsidRDefault="00000000" w:rsidRPr="00000000" w14:paraId="00000009">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Con relación al papel de la industria, en particular la diligencia debida en materia de derechos humanos y DIH y la aplicación del ATT, la Argentina considera que el desarrollo de orientaciones de uso voluntario sobre el rol de la industria debe complementarse con el tratamiento del tema en otros foros. En este sentido atento a la autonomía de los actores privados, los debates deberán siempre tener en cuenta la opinión de éstos.</w:t>
      </w:r>
    </w:p>
    <w:p w:rsidR="00000000" w:rsidDel="00000000" w:rsidP="00000000" w:rsidRDefault="00000000" w:rsidRPr="00000000" w14:paraId="0000000A">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En ese sentido, destacamos la importancia de generar una mayor cooperación entre los órganos de control encargados de verificar el comercio de armas y entre éstos y las empresas del sector, a los fines de garantizar la concientización de la industria y profundizar los esfuerzos para prevenir y erradicar el comercio ilícito y el desvío, entre otros. </w:t>
      </w:r>
    </w:p>
    <w:p w:rsidR="00000000" w:rsidDel="00000000" w:rsidP="00000000" w:rsidRDefault="00000000" w:rsidRPr="00000000" w14:paraId="0000000B">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Por otro lado, la elaboración de una guía de buenas prácticas de uso voluntario para la prevención de la violencia por razón de género (evaluaciones de riesgos de la violencia por razón de género/violencia contra las mujeres y los niños en los términos del Art. 7.4 del ATT) es una propuesta de larga data, debatida en extenso durante ciclos pasados. Nuestra delegación participó activamente en estos debates presentando en el año 2023 el documento "Hacia una guía de buenas prácticas para el control de armamentos para la prevención de la violencia por razón de género".</w:t>
      </w:r>
    </w:p>
    <w:p w:rsidR="00000000" w:rsidDel="00000000" w:rsidP="00000000" w:rsidRDefault="00000000" w:rsidRPr="00000000" w14:paraId="0000000C">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La República Argentina entiende, a este respecto,  el término género tal como fue pactado en el Estatuto de Roma, Art. 7.3. La palabra género, en el ámbito de la ONU -especialmente en el ámbito de la CEDAW- se ha utilizado como equivalente de mujer, refiriéndose a la proyección social del sexo biológico de la mujer.</w:t>
      </w:r>
    </w:p>
    <w:p w:rsidR="00000000" w:rsidDel="00000000" w:rsidP="00000000" w:rsidRDefault="00000000" w:rsidRPr="00000000" w14:paraId="0000000D">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En cuanto a la temática perspectiva de género, el compromiso de la República Argentina con los derechos de la mujer es sostenido en el tiempo y está plasmado en su legislación y en prácticas internas que van más allá de los estándares internacionales. Sin embargo, advierte que aplicar una perspectiva sectorizada para entender los derechos humanos genera inequidades contrarias al objetivo de no discriminación pretendido.  </w:t>
      </w:r>
    </w:p>
    <w:p w:rsidR="00000000" w:rsidDel="00000000" w:rsidP="00000000" w:rsidRDefault="00000000" w:rsidRPr="00000000" w14:paraId="0000000E">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Respecto al criterio de ampliar el tratamiento de esta temática como una consideración intersectorial para la generalidad de los debates, consideramos que es conveniente avanzar en otros tópicos vinculados a la implementación que requieren profundización, como el riesgo de que se utilicen armas para la delincuencia organizada transnacional, que fue mencionado en marzo como un tema poco estudiado en el ámbito del Tratado. </w:t>
      </w:r>
    </w:p>
    <w:p w:rsidR="00000000" w:rsidDel="00000000" w:rsidP="00000000" w:rsidRDefault="00000000" w:rsidRPr="00000000" w14:paraId="0000000F">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Finalmente, apoyamos la continuidad de las discusiones sobre el tema de la cooperación interinstitucional.  En nuestro país se han propiciado importantes cambios en la organización del estado que, en materia de seguridad, asumen como objetivo prioritario una visión multiagencial en el abordaje de los desafíos.  En razón de ello, la Argentina se encuentra comprometida en sus acciones cotidianas como en el planeamiento a corto y mediano plazo en la reconfiguración de esos desafíos y la elaboración estrategias sectoriales de abordaje que implican una estrecha cooperación y una correcta complementariedad entre las entidades nacionales involucradas.</w:t>
      </w:r>
    </w:p>
    <w:p w:rsidR="00000000" w:rsidDel="00000000" w:rsidP="00000000" w:rsidRDefault="00000000" w:rsidRPr="00000000" w14:paraId="00000010">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En esa línea, la Argentina ha apostado a la modernización de sus formas de presentación y expedición de autorizaciones sobre materiales controlados previendo su completa digitalización y sinergia entre las agencias estatales que participan del proceso.</w:t>
      </w:r>
    </w:p>
    <w:p w:rsidR="00000000" w:rsidDel="00000000" w:rsidP="00000000" w:rsidRDefault="00000000" w:rsidRPr="00000000" w14:paraId="00000011">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Muchas gracias.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