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127E" w14:textId="77777777" w:rsidR="006562D1" w:rsidRPr="00281D25" w:rsidRDefault="006562D1" w:rsidP="00CC5985">
      <w:pPr>
        <w:jc w:val="both"/>
        <w:rPr>
          <w:rFonts w:ascii="Times New Roman" w:hAnsi="Times New Roman" w:cs="Times New Roman"/>
          <w:sz w:val="24"/>
          <w:szCs w:val="24"/>
        </w:rPr>
      </w:pPr>
    </w:p>
    <w:p w14:paraId="2A373415" w14:textId="77777777" w:rsidR="00D253CB" w:rsidRDefault="00D253CB" w:rsidP="00D253CB">
      <w:r>
        <w:rPr>
          <w:noProof/>
          <w:lang w:eastAsia="en-GB"/>
        </w:rPr>
        <w:drawing>
          <wp:anchor distT="0" distB="0" distL="114300" distR="114300" simplePos="0" relativeHeight="251659264" behindDoc="1" locked="0" layoutInCell="1" allowOverlap="1" wp14:anchorId="2CE2A511" wp14:editId="0DE33766">
            <wp:simplePos x="0" y="0"/>
            <wp:positionH relativeFrom="column">
              <wp:posOffset>2434121</wp:posOffset>
            </wp:positionH>
            <wp:positionV relativeFrom="paragraph">
              <wp:posOffset>-297815</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anchor>
        </w:drawing>
      </w:r>
    </w:p>
    <w:p w14:paraId="22D5C7F9" w14:textId="77777777" w:rsidR="00D253CB" w:rsidRDefault="00D253CB" w:rsidP="00D253CB"/>
    <w:p w14:paraId="7E6553BA" w14:textId="77777777" w:rsidR="00D253CB" w:rsidRPr="00474E29" w:rsidRDefault="00D253CB" w:rsidP="00D253CB">
      <w:pPr>
        <w:spacing w:after="120"/>
        <w:jc w:val="center"/>
        <w:outlineLvl w:val="0"/>
        <w:rPr>
          <w:rFonts w:ascii="Times New Roman" w:hAnsi="Times New Roman" w:cs="Times New Roman"/>
          <w:b/>
          <w:sz w:val="24"/>
          <w:szCs w:val="24"/>
        </w:rPr>
      </w:pPr>
      <w:r>
        <w:rPr>
          <w:rFonts w:ascii="Times New Roman" w:hAnsi="Times New Roman" w:cs="Times New Roman"/>
          <w:b/>
          <w:sz w:val="24"/>
          <w:szCs w:val="24"/>
        </w:rPr>
        <w:t xml:space="preserve">       </w:t>
      </w:r>
      <w:r w:rsidRPr="00474E29">
        <w:rPr>
          <w:rFonts w:ascii="Times New Roman" w:hAnsi="Times New Roman" w:cs="Times New Roman"/>
          <w:b/>
          <w:sz w:val="24"/>
          <w:szCs w:val="24"/>
        </w:rPr>
        <w:t>EU Statement</w:t>
      </w:r>
    </w:p>
    <w:p w14:paraId="1049F039" w14:textId="77777777" w:rsidR="00D253CB" w:rsidRPr="00474E29" w:rsidRDefault="00D253CB" w:rsidP="00D253CB">
      <w:pPr>
        <w:spacing w:after="12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474E29">
        <w:rPr>
          <w:rFonts w:ascii="Times New Roman" w:hAnsi="Times New Roman" w:cs="Times New Roman"/>
          <w:b/>
          <w:sz w:val="24"/>
          <w:szCs w:val="24"/>
        </w:rPr>
        <w:t>Arms Trade Treaty</w:t>
      </w:r>
    </w:p>
    <w:p w14:paraId="7F9172AD" w14:textId="08C57DEA" w:rsidR="00D253CB" w:rsidRPr="00474E29" w:rsidRDefault="00D253CB" w:rsidP="00D253CB">
      <w:pPr>
        <w:spacing w:after="120"/>
        <w:jc w:val="center"/>
        <w:rPr>
          <w:rFonts w:ascii="Times New Roman" w:hAnsi="Times New Roman" w:cs="Times New Roman"/>
          <w:b/>
          <w:sz w:val="24"/>
          <w:szCs w:val="24"/>
        </w:rPr>
      </w:pPr>
      <w:r>
        <w:rPr>
          <w:rFonts w:ascii="Times New Roman" w:hAnsi="Times New Roman" w:cs="Times New Roman"/>
          <w:b/>
          <w:sz w:val="24"/>
          <w:szCs w:val="24"/>
        </w:rPr>
        <w:t>Informal Preparatory Meeting</w:t>
      </w:r>
      <w:r w:rsidRPr="00474E29">
        <w:rPr>
          <w:rFonts w:ascii="Times New Roman" w:hAnsi="Times New Roman" w:cs="Times New Roman"/>
          <w:b/>
          <w:sz w:val="24"/>
          <w:szCs w:val="24"/>
        </w:rPr>
        <w:t xml:space="preserve"> for the Conference of States Parties (CSP</w:t>
      </w:r>
      <w:r>
        <w:rPr>
          <w:rFonts w:ascii="Times New Roman" w:hAnsi="Times New Roman" w:cs="Times New Roman"/>
          <w:b/>
          <w:sz w:val="24"/>
          <w:szCs w:val="24"/>
        </w:rPr>
        <w:t>1</w:t>
      </w:r>
      <w:r w:rsidR="00A65B75">
        <w:rPr>
          <w:rFonts w:ascii="Times New Roman" w:hAnsi="Times New Roman" w:cs="Times New Roman"/>
          <w:b/>
          <w:sz w:val="24"/>
          <w:szCs w:val="24"/>
        </w:rPr>
        <w:t>2</w:t>
      </w:r>
      <w:r w:rsidRPr="00474E29">
        <w:rPr>
          <w:rFonts w:ascii="Times New Roman" w:hAnsi="Times New Roman" w:cs="Times New Roman"/>
          <w:b/>
          <w:sz w:val="24"/>
          <w:szCs w:val="24"/>
        </w:rPr>
        <w:t>)</w:t>
      </w:r>
    </w:p>
    <w:p w14:paraId="09E94AFD" w14:textId="254EA3DC" w:rsidR="00D253CB" w:rsidRPr="00474E29" w:rsidRDefault="00D253CB" w:rsidP="00D253CB">
      <w:pPr>
        <w:spacing w:after="120"/>
        <w:jc w:val="center"/>
        <w:rPr>
          <w:rFonts w:ascii="Times New Roman" w:hAnsi="Times New Roman" w:cs="Times New Roman"/>
          <w:b/>
          <w:sz w:val="24"/>
          <w:szCs w:val="24"/>
        </w:rPr>
      </w:pPr>
      <w:r w:rsidRPr="00474E29">
        <w:rPr>
          <w:rFonts w:ascii="Times New Roman" w:hAnsi="Times New Roman" w:cs="Times New Roman"/>
          <w:b/>
          <w:sz w:val="24"/>
          <w:szCs w:val="24"/>
        </w:rPr>
        <w:t xml:space="preserve"> Geneva, </w:t>
      </w:r>
      <w:r w:rsidR="00A65B75">
        <w:rPr>
          <w:rFonts w:ascii="Times New Roman" w:hAnsi="Times New Roman" w:cs="Times New Roman"/>
          <w:b/>
          <w:sz w:val="24"/>
          <w:szCs w:val="24"/>
        </w:rPr>
        <w:t>27</w:t>
      </w:r>
      <w:r>
        <w:rPr>
          <w:rFonts w:ascii="Times New Roman" w:hAnsi="Times New Roman" w:cs="Times New Roman"/>
          <w:b/>
          <w:sz w:val="24"/>
          <w:szCs w:val="24"/>
        </w:rPr>
        <w:t>-2</w:t>
      </w:r>
      <w:r w:rsidR="00A65B75">
        <w:rPr>
          <w:rFonts w:ascii="Times New Roman" w:hAnsi="Times New Roman" w:cs="Times New Roman"/>
          <w:b/>
          <w:sz w:val="24"/>
          <w:szCs w:val="24"/>
        </w:rPr>
        <w:t>8</w:t>
      </w:r>
      <w:r>
        <w:rPr>
          <w:rFonts w:ascii="Times New Roman" w:hAnsi="Times New Roman" w:cs="Times New Roman"/>
          <w:b/>
          <w:sz w:val="24"/>
          <w:szCs w:val="24"/>
        </w:rPr>
        <w:t xml:space="preserve"> May </w:t>
      </w:r>
      <w:r w:rsidRPr="00474E29">
        <w:rPr>
          <w:rFonts w:ascii="Times New Roman" w:hAnsi="Times New Roman" w:cs="Times New Roman"/>
          <w:b/>
          <w:sz w:val="24"/>
          <w:szCs w:val="24"/>
        </w:rPr>
        <w:t>202</w:t>
      </w:r>
      <w:r w:rsidR="00A65B75">
        <w:rPr>
          <w:rFonts w:ascii="Times New Roman" w:hAnsi="Times New Roman" w:cs="Times New Roman"/>
          <w:b/>
          <w:sz w:val="24"/>
          <w:szCs w:val="24"/>
        </w:rPr>
        <w:t>6</w:t>
      </w:r>
    </w:p>
    <w:p w14:paraId="022C9981" w14:textId="77777777" w:rsidR="00C662FE" w:rsidRDefault="00C662FE" w:rsidP="00D253CB">
      <w:pPr>
        <w:spacing w:after="120" w:line="360" w:lineRule="auto"/>
        <w:jc w:val="both"/>
        <w:rPr>
          <w:rFonts w:ascii="Times New Roman" w:hAnsi="Times New Roman" w:cs="Times New Roman"/>
          <w:i/>
          <w:color w:val="000000" w:themeColor="text1"/>
          <w:sz w:val="24"/>
          <w:szCs w:val="24"/>
        </w:rPr>
      </w:pPr>
    </w:p>
    <w:p w14:paraId="441ADBC3" w14:textId="77777777" w:rsidR="00DA7EAA" w:rsidRDefault="00DA7EAA" w:rsidP="00D253CB">
      <w:pPr>
        <w:spacing w:after="120" w:line="360" w:lineRule="auto"/>
        <w:jc w:val="both"/>
        <w:rPr>
          <w:rFonts w:ascii="Times New Roman" w:hAnsi="Times New Roman" w:cs="Times New Roman"/>
          <w:i/>
          <w:color w:val="000000" w:themeColor="text1"/>
          <w:sz w:val="24"/>
          <w:szCs w:val="24"/>
        </w:rPr>
      </w:pPr>
    </w:p>
    <w:p w14:paraId="3CBEA66D" w14:textId="219AA0E3" w:rsidR="00D253CB" w:rsidRPr="000E0477" w:rsidRDefault="00D253CB" w:rsidP="00D253CB">
      <w:pPr>
        <w:spacing w:after="120" w:line="360" w:lineRule="auto"/>
        <w:jc w:val="both"/>
        <w:rPr>
          <w:rFonts w:ascii="Times New Roman" w:hAnsi="Times New Roman" w:cs="Times New Roman"/>
          <w:sz w:val="24"/>
          <w:szCs w:val="24"/>
        </w:rPr>
      </w:pPr>
      <w:r w:rsidRPr="000E0477">
        <w:rPr>
          <w:rFonts w:ascii="Times New Roman" w:hAnsi="Times New Roman" w:cs="Times New Roman"/>
          <w:sz w:val="24"/>
          <w:szCs w:val="24"/>
        </w:rPr>
        <w:t>M</w:t>
      </w:r>
      <w:r w:rsidR="00AB4359">
        <w:rPr>
          <w:rFonts w:ascii="Times New Roman" w:hAnsi="Times New Roman" w:cs="Times New Roman"/>
          <w:sz w:val="24"/>
          <w:szCs w:val="24"/>
        </w:rPr>
        <w:t xml:space="preserve">adame </w:t>
      </w:r>
      <w:r w:rsidRPr="000E0477">
        <w:rPr>
          <w:rFonts w:ascii="Times New Roman" w:hAnsi="Times New Roman" w:cs="Times New Roman"/>
          <w:sz w:val="24"/>
          <w:szCs w:val="24"/>
        </w:rPr>
        <w:t>President,</w:t>
      </w:r>
    </w:p>
    <w:p w14:paraId="4A451CC0" w14:textId="2C4CBC78" w:rsidR="00203C4A" w:rsidRDefault="00D253CB" w:rsidP="00203C4A">
      <w:pPr>
        <w:spacing w:after="120" w:line="360" w:lineRule="auto"/>
        <w:jc w:val="both"/>
        <w:rPr>
          <w:rFonts w:ascii="Times New Roman" w:hAnsi="Times New Roman" w:cs="Times New Roman"/>
          <w:bCs/>
          <w:sz w:val="24"/>
          <w:szCs w:val="24"/>
        </w:rPr>
      </w:pPr>
      <w:r w:rsidRPr="00D253CB">
        <w:rPr>
          <w:rStyle w:val="Strong"/>
          <w:rFonts w:ascii="Times New Roman" w:hAnsi="Times New Roman" w:cs="Times New Roman"/>
          <w:b w:val="0"/>
          <w:sz w:val="24"/>
          <w:szCs w:val="24"/>
        </w:rPr>
        <w:t>I have the honour to speak on behalf of the European Union</w:t>
      </w:r>
      <w:r w:rsidR="00205578">
        <w:rPr>
          <w:rStyle w:val="Strong"/>
          <w:rFonts w:ascii="Times New Roman" w:hAnsi="Times New Roman" w:cs="Times New Roman"/>
          <w:b w:val="0"/>
          <w:sz w:val="24"/>
          <w:szCs w:val="24"/>
        </w:rPr>
        <w:t xml:space="preserve"> and its Member States</w:t>
      </w:r>
      <w:r w:rsidRPr="00D253CB">
        <w:rPr>
          <w:rStyle w:val="Strong"/>
          <w:rFonts w:ascii="Times New Roman" w:hAnsi="Times New Roman" w:cs="Times New Roman"/>
          <w:b w:val="0"/>
          <w:sz w:val="24"/>
          <w:szCs w:val="24"/>
        </w:rPr>
        <w:t>.</w:t>
      </w:r>
      <w:r>
        <w:rPr>
          <w:rFonts w:ascii="Times New Roman" w:hAnsi="Times New Roman" w:cs="Times New Roman"/>
          <w:b/>
          <w:sz w:val="24"/>
          <w:szCs w:val="24"/>
        </w:rPr>
        <w:t xml:space="preserve"> </w:t>
      </w:r>
    </w:p>
    <w:p w14:paraId="3BFD50DE" w14:textId="5F440707" w:rsidR="00F7629F" w:rsidRPr="00203C4A" w:rsidRDefault="00F7629F" w:rsidP="00F7629F">
      <w:pPr>
        <w:spacing w:after="120" w:line="240" w:lineRule="auto"/>
        <w:jc w:val="both"/>
        <w:rPr>
          <w:rStyle w:val="Strong"/>
          <w:rFonts w:ascii="Times New Roman" w:hAnsi="Times New Roman" w:cs="Times New Roman"/>
          <w:b w:val="0"/>
          <w:sz w:val="24"/>
        </w:rPr>
      </w:pPr>
      <w:r>
        <w:rPr>
          <w:rFonts w:ascii="Times New Roman" w:hAnsi="Times New Roman" w:cs="Times New Roman"/>
          <w:bCs/>
          <w:sz w:val="24"/>
          <w:szCs w:val="24"/>
        </w:rPr>
        <w:t>The candidate countries North Macedonia, Montenegro, Serbia, Albania and Republic of Moldova</w:t>
      </w:r>
      <w:r>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as well as the EFTA countries Iceland and Norway, members of the European Economic Area align themselves with this statement.</w:t>
      </w:r>
    </w:p>
    <w:p w14:paraId="47C1F821" w14:textId="77777777" w:rsidR="000964BC" w:rsidRDefault="000964BC" w:rsidP="00203C4A">
      <w:pPr>
        <w:spacing w:after="120" w:line="360" w:lineRule="auto"/>
        <w:jc w:val="both"/>
        <w:rPr>
          <w:rFonts w:ascii="Times New Roman" w:hAnsi="Times New Roman" w:cs="Times New Roman"/>
          <w:b/>
          <w:sz w:val="24"/>
          <w:szCs w:val="24"/>
          <w:u w:val="single"/>
        </w:rPr>
      </w:pPr>
    </w:p>
    <w:p w14:paraId="156BC950" w14:textId="11B42A28" w:rsidR="00D253CB" w:rsidRPr="00203C4A" w:rsidRDefault="00D253CB" w:rsidP="00203C4A">
      <w:pPr>
        <w:spacing w:after="120" w:line="360" w:lineRule="auto"/>
        <w:jc w:val="both"/>
        <w:rPr>
          <w:rFonts w:ascii="Times New Roman" w:hAnsi="Times New Roman" w:cs="Times New Roman"/>
          <w:bCs/>
          <w:sz w:val="24"/>
        </w:rPr>
      </w:pPr>
      <w:r w:rsidRPr="009E1C9E">
        <w:rPr>
          <w:rFonts w:ascii="Times New Roman" w:hAnsi="Times New Roman" w:cs="Times New Roman"/>
          <w:b/>
          <w:sz w:val="24"/>
          <w:szCs w:val="24"/>
          <w:u w:val="single"/>
        </w:rPr>
        <w:t>Agenda item 2: Progress reports of ATT subsidiary bodies</w:t>
      </w:r>
    </w:p>
    <w:p w14:paraId="75DEE27E" w14:textId="16031573" w:rsidR="000075AC" w:rsidRPr="00281D25" w:rsidRDefault="006562D1" w:rsidP="00CC5985">
      <w:pPr>
        <w:numPr>
          <w:ilvl w:val="0"/>
          <w:numId w:val="7"/>
        </w:numPr>
        <w:autoSpaceDE w:val="0"/>
        <w:autoSpaceDN w:val="0"/>
        <w:adjustRightInd w:val="0"/>
        <w:spacing w:after="120" w:line="240" w:lineRule="auto"/>
        <w:jc w:val="both"/>
        <w:rPr>
          <w:rFonts w:ascii="Times New Roman" w:hAnsi="Times New Roman" w:cs="Times New Roman"/>
          <w:b/>
          <w:color w:val="000000"/>
          <w:sz w:val="24"/>
          <w:szCs w:val="24"/>
        </w:rPr>
      </w:pPr>
      <w:r w:rsidRPr="00281D25">
        <w:rPr>
          <w:rFonts w:ascii="Times New Roman" w:hAnsi="Times New Roman" w:cs="Times New Roman"/>
          <w:b/>
          <w:color w:val="000000"/>
          <w:sz w:val="24"/>
          <w:szCs w:val="24"/>
        </w:rPr>
        <w:t xml:space="preserve">2a. </w:t>
      </w:r>
      <w:r w:rsidRPr="006562D1">
        <w:rPr>
          <w:rFonts w:ascii="Times New Roman" w:hAnsi="Times New Roman" w:cs="Times New Roman"/>
          <w:b/>
          <w:color w:val="000000"/>
          <w:sz w:val="24"/>
          <w:szCs w:val="24"/>
        </w:rPr>
        <w:t>Wo</w:t>
      </w:r>
      <w:r w:rsidRPr="00281D25">
        <w:rPr>
          <w:rFonts w:ascii="Times New Roman" w:hAnsi="Times New Roman" w:cs="Times New Roman"/>
          <w:b/>
          <w:color w:val="000000"/>
          <w:sz w:val="24"/>
          <w:szCs w:val="24"/>
        </w:rPr>
        <w:t xml:space="preserve">rking Group on Effective Treaty </w:t>
      </w:r>
      <w:r w:rsidRPr="006562D1">
        <w:rPr>
          <w:rFonts w:ascii="Times New Roman" w:hAnsi="Times New Roman" w:cs="Times New Roman"/>
          <w:b/>
          <w:color w:val="000000"/>
          <w:sz w:val="24"/>
          <w:szCs w:val="24"/>
        </w:rPr>
        <w:t xml:space="preserve">Implementation (WGETI) </w:t>
      </w:r>
    </w:p>
    <w:p w14:paraId="67DC97C0" w14:textId="1DA773C4" w:rsidR="00AB4359" w:rsidRPr="00D31982" w:rsidRDefault="00196E0A" w:rsidP="007442B6">
      <w:pPr>
        <w:numPr>
          <w:ilvl w:val="0"/>
          <w:numId w:val="7"/>
        </w:numPr>
        <w:autoSpaceDE w:val="0"/>
        <w:autoSpaceDN w:val="0"/>
        <w:adjustRightInd w:val="0"/>
        <w:spacing w:after="120" w:line="240" w:lineRule="auto"/>
        <w:jc w:val="both"/>
        <w:rPr>
          <w:rFonts w:ascii="Times New Roman" w:hAnsi="Times New Roman" w:cs="Times New Roman"/>
          <w:sz w:val="24"/>
          <w:szCs w:val="24"/>
        </w:rPr>
      </w:pPr>
      <w:r w:rsidRPr="00D31982">
        <w:rPr>
          <w:rFonts w:ascii="Times New Roman" w:hAnsi="Times New Roman" w:cs="Times New Roman"/>
          <w:color w:val="000000"/>
          <w:sz w:val="24"/>
          <w:szCs w:val="24"/>
        </w:rPr>
        <w:t xml:space="preserve">The EU would like to express appreciation </w:t>
      </w:r>
      <w:r w:rsidR="00D45B3E" w:rsidRPr="00D31982">
        <w:rPr>
          <w:rFonts w:ascii="Times New Roman" w:hAnsi="Times New Roman" w:cs="Times New Roman"/>
          <w:color w:val="000000"/>
          <w:sz w:val="24"/>
          <w:szCs w:val="24"/>
        </w:rPr>
        <w:t xml:space="preserve">to </w:t>
      </w:r>
      <w:r w:rsidR="00203C4A" w:rsidRPr="00D31982">
        <w:rPr>
          <w:rFonts w:ascii="Times New Roman" w:hAnsi="Times New Roman" w:cs="Times New Roman"/>
          <w:color w:val="000000"/>
          <w:sz w:val="24"/>
          <w:szCs w:val="24"/>
        </w:rPr>
        <w:t>France</w:t>
      </w:r>
      <w:r w:rsidR="00C60706" w:rsidRPr="00D31982">
        <w:rPr>
          <w:rFonts w:ascii="Times New Roman" w:hAnsi="Times New Roman" w:cs="Times New Roman"/>
          <w:color w:val="000000"/>
          <w:sz w:val="24"/>
          <w:szCs w:val="24"/>
        </w:rPr>
        <w:t xml:space="preserve"> for chairing </w:t>
      </w:r>
      <w:r w:rsidR="00270EF9" w:rsidRPr="00D31982">
        <w:rPr>
          <w:rFonts w:ascii="Times New Roman" w:hAnsi="Times New Roman" w:cs="Times New Roman"/>
          <w:color w:val="000000"/>
          <w:sz w:val="24"/>
          <w:szCs w:val="24"/>
        </w:rPr>
        <w:t>the Group</w:t>
      </w:r>
      <w:r w:rsidR="00761BB7" w:rsidRPr="00D31982">
        <w:rPr>
          <w:rFonts w:ascii="Times New Roman" w:hAnsi="Times New Roman" w:cs="Times New Roman"/>
          <w:color w:val="000000"/>
          <w:sz w:val="24"/>
          <w:szCs w:val="24"/>
        </w:rPr>
        <w:t xml:space="preserve"> and to France and Sierra Leone for facilitating </w:t>
      </w:r>
      <w:r w:rsidR="00203C4A" w:rsidRPr="00D31982">
        <w:rPr>
          <w:rFonts w:ascii="Times New Roman" w:hAnsi="Times New Roman" w:cs="Times New Roman"/>
          <w:color w:val="000000"/>
          <w:sz w:val="24"/>
          <w:szCs w:val="24"/>
        </w:rPr>
        <w:t>the Su</w:t>
      </w:r>
      <w:r w:rsidR="00203C4A" w:rsidRPr="00982B85">
        <w:rPr>
          <w:rFonts w:ascii="Times New Roman" w:hAnsi="Times New Roman" w:cs="Times New Roman"/>
          <w:color w:val="000000"/>
          <w:sz w:val="24"/>
          <w:szCs w:val="24"/>
        </w:rPr>
        <w:t xml:space="preserve">b-working Groups. The EU </w:t>
      </w:r>
      <w:r w:rsidR="00761BB7" w:rsidRPr="00982B85">
        <w:rPr>
          <w:rFonts w:ascii="Times New Roman" w:hAnsi="Times New Roman" w:cs="Times New Roman"/>
          <w:color w:val="000000"/>
          <w:sz w:val="24"/>
          <w:szCs w:val="24"/>
        </w:rPr>
        <w:t xml:space="preserve">once again </w:t>
      </w:r>
      <w:r w:rsidR="00BD2BAC" w:rsidRPr="00982B85">
        <w:rPr>
          <w:rFonts w:ascii="Times New Roman" w:hAnsi="Times New Roman" w:cs="Times New Roman"/>
          <w:color w:val="000000"/>
          <w:sz w:val="24"/>
          <w:szCs w:val="24"/>
        </w:rPr>
        <w:t xml:space="preserve">commends </w:t>
      </w:r>
      <w:r w:rsidR="00761BB7" w:rsidRPr="00982B85">
        <w:rPr>
          <w:rFonts w:ascii="Times New Roman" w:hAnsi="Times New Roman" w:cs="Times New Roman"/>
          <w:color w:val="000000"/>
          <w:sz w:val="24"/>
          <w:szCs w:val="24"/>
        </w:rPr>
        <w:t xml:space="preserve">the efforts of the Chair and facilitators </w:t>
      </w:r>
      <w:r w:rsidR="00BD2BAC" w:rsidRPr="00982B85">
        <w:rPr>
          <w:rFonts w:ascii="Times New Roman" w:hAnsi="Times New Roman" w:cs="Times New Roman"/>
          <w:color w:val="000000"/>
          <w:sz w:val="24"/>
          <w:szCs w:val="24"/>
        </w:rPr>
        <w:t xml:space="preserve">for allowing a </w:t>
      </w:r>
      <w:r w:rsidR="00761BB7" w:rsidRPr="00982B85">
        <w:rPr>
          <w:rFonts w:ascii="Times New Roman" w:hAnsi="Times New Roman" w:cs="Times New Roman"/>
          <w:color w:val="000000"/>
          <w:sz w:val="24"/>
          <w:szCs w:val="24"/>
        </w:rPr>
        <w:t xml:space="preserve">well structured </w:t>
      </w:r>
      <w:r w:rsidR="00BD2BAC" w:rsidRPr="00982B85">
        <w:rPr>
          <w:rFonts w:ascii="Times New Roman" w:hAnsi="Times New Roman" w:cs="Times New Roman"/>
          <w:color w:val="000000"/>
          <w:sz w:val="24"/>
          <w:szCs w:val="24"/>
        </w:rPr>
        <w:t xml:space="preserve">discussion </w:t>
      </w:r>
      <w:r w:rsidR="00761BB7" w:rsidRPr="00982B85">
        <w:rPr>
          <w:rFonts w:ascii="Times New Roman" w:hAnsi="Times New Roman" w:cs="Times New Roman"/>
          <w:color w:val="000000"/>
          <w:sz w:val="24"/>
          <w:szCs w:val="24"/>
        </w:rPr>
        <w:t xml:space="preserve">in order to collect practicable feedback on a number of very pertinent topics. </w:t>
      </w:r>
      <w:r w:rsidR="00D45B3E" w:rsidRPr="00982B85">
        <w:rPr>
          <w:rFonts w:ascii="Times New Roman" w:hAnsi="Times New Roman" w:cs="Times New Roman"/>
          <w:color w:val="000000"/>
          <w:sz w:val="24"/>
          <w:szCs w:val="24"/>
        </w:rPr>
        <w:t xml:space="preserve">We would like to share </w:t>
      </w:r>
      <w:r w:rsidR="00761BB7" w:rsidRPr="00982B85">
        <w:rPr>
          <w:rFonts w:ascii="Times New Roman" w:hAnsi="Times New Roman" w:cs="Times New Roman"/>
          <w:color w:val="000000"/>
          <w:sz w:val="24"/>
          <w:szCs w:val="24"/>
        </w:rPr>
        <w:t>several observations</w:t>
      </w:r>
      <w:r w:rsidR="00D45B3E" w:rsidRPr="00982B85">
        <w:rPr>
          <w:rFonts w:ascii="Times New Roman" w:hAnsi="Times New Roman" w:cs="Times New Roman"/>
          <w:color w:val="000000"/>
          <w:sz w:val="24"/>
          <w:szCs w:val="24"/>
        </w:rPr>
        <w:t xml:space="preserve"> on the Chair’s report</w:t>
      </w:r>
      <w:r w:rsidR="00D45B3E" w:rsidRPr="00D31982">
        <w:rPr>
          <w:rFonts w:ascii="Times New Roman" w:hAnsi="Times New Roman" w:cs="Times New Roman"/>
          <w:color w:val="000000"/>
          <w:sz w:val="24"/>
          <w:szCs w:val="24"/>
        </w:rPr>
        <w:t xml:space="preserve">. </w:t>
      </w:r>
    </w:p>
    <w:p w14:paraId="40A1DF63" w14:textId="6BABAA22" w:rsidR="000075AC" w:rsidRPr="000075AC" w:rsidRDefault="00761BB7" w:rsidP="000075AC">
      <w:pPr>
        <w:autoSpaceDE w:val="0"/>
        <w:autoSpaceDN w:val="0"/>
        <w:adjustRightInd w:val="0"/>
        <w:spacing w:after="120" w:line="254" w:lineRule="auto"/>
        <w:jc w:val="both"/>
        <w:rPr>
          <w:rFonts w:ascii="Times New Roman" w:hAnsi="Times New Roman" w:cs="Times New Roman"/>
          <w:color w:val="000000"/>
          <w:sz w:val="24"/>
          <w:szCs w:val="24"/>
        </w:rPr>
      </w:pPr>
      <w:r w:rsidRPr="007442B6">
        <w:rPr>
          <w:rFonts w:ascii="Times New Roman" w:hAnsi="Times New Roman" w:cs="Times New Roman"/>
          <w:color w:val="000000"/>
          <w:sz w:val="24"/>
          <w:szCs w:val="24"/>
        </w:rPr>
        <w:t>With regard to brokering: t</w:t>
      </w:r>
      <w:r w:rsidR="00AB4359" w:rsidRPr="007442B6">
        <w:rPr>
          <w:rFonts w:ascii="Times New Roman" w:hAnsi="Times New Roman" w:cs="Times New Roman"/>
          <w:color w:val="000000"/>
          <w:sz w:val="24"/>
          <w:szCs w:val="24"/>
        </w:rPr>
        <w:t xml:space="preserve">he EU welcomes </w:t>
      </w:r>
      <w:r w:rsidR="00C53127" w:rsidRPr="007442B6">
        <w:rPr>
          <w:rFonts w:ascii="Times New Roman" w:hAnsi="Times New Roman" w:cs="Times New Roman"/>
          <w:color w:val="000000"/>
          <w:sz w:val="24"/>
          <w:szCs w:val="24"/>
        </w:rPr>
        <w:t xml:space="preserve">the </w:t>
      </w:r>
      <w:r w:rsidR="00AB4359" w:rsidRPr="007442B6">
        <w:rPr>
          <w:rFonts w:ascii="Times New Roman" w:hAnsi="Times New Roman" w:cs="Times New Roman"/>
          <w:color w:val="000000"/>
          <w:sz w:val="24"/>
          <w:szCs w:val="24"/>
        </w:rPr>
        <w:t xml:space="preserve">conclusion </w:t>
      </w:r>
      <w:r w:rsidR="00C53127" w:rsidRPr="007442B6">
        <w:rPr>
          <w:rFonts w:ascii="Times New Roman" w:hAnsi="Times New Roman" w:cs="Times New Roman"/>
          <w:color w:val="000000"/>
          <w:sz w:val="24"/>
          <w:szCs w:val="24"/>
        </w:rPr>
        <w:t xml:space="preserve">in the report </w:t>
      </w:r>
      <w:r w:rsidR="00AB4359" w:rsidRPr="007442B6">
        <w:rPr>
          <w:rFonts w:ascii="Times New Roman" w:hAnsi="Times New Roman" w:cs="Times New Roman"/>
          <w:color w:val="000000"/>
          <w:sz w:val="24"/>
          <w:szCs w:val="24"/>
        </w:rPr>
        <w:t xml:space="preserve">that illicit brokering is a significant issue while regulation and enforcement remain complex. </w:t>
      </w:r>
      <w:r w:rsidR="00B27C98" w:rsidRPr="007442B6">
        <w:rPr>
          <w:rFonts w:ascii="Times New Roman" w:hAnsi="Times New Roman" w:cs="Times New Roman"/>
          <w:color w:val="000000"/>
          <w:sz w:val="24"/>
          <w:szCs w:val="24"/>
        </w:rPr>
        <w:t>In principle</w:t>
      </w:r>
      <w:r w:rsidR="00AB4359" w:rsidRPr="007442B6">
        <w:rPr>
          <w:rFonts w:ascii="Times New Roman" w:hAnsi="Times New Roman" w:cs="Times New Roman"/>
          <w:color w:val="000000"/>
          <w:sz w:val="24"/>
          <w:szCs w:val="24"/>
        </w:rPr>
        <w:t>, the EU agrees that certain relevant aspects could be addressed in the anticipated discussions on “enforcement arrangements” and “general regulation of actors involved in arms transfers”, including, as far as feasible, relevant logistical actors and organisations.</w:t>
      </w:r>
      <w:r w:rsidR="00B27C98" w:rsidRPr="007442B6">
        <w:rPr>
          <w:rFonts w:ascii="Times New Roman" w:hAnsi="Times New Roman" w:cs="Times New Roman"/>
          <w:color w:val="000000"/>
          <w:sz w:val="24"/>
          <w:szCs w:val="24"/>
        </w:rPr>
        <w:t xml:space="preserve"> Some conclusions of </w:t>
      </w:r>
      <w:r w:rsidR="0097059C" w:rsidRPr="00982B85">
        <w:rPr>
          <w:rFonts w:ascii="Times New Roman" w:hAnsi="Times New Roman" w:cs="Times New Roman"/>
          <w:color w:val="000000"/>
          <w:sz w:val="24"/>
          <w:szCs w:val="24"/>
        </w:rPr>
        <w:t>the</w:t>
      </w:r>
      <w:r w:rsidR="0097059C">
        <w:rPr>
          <w:rFonts w:ascii="Times New Roman" w:hAnsi="Times New Roman" w:cs="Times New Roman"/>
          <w:b/>
          <w:bCs/>
          <w:color w:val="000000"/>
          <w:sz w:val="24"/>
          <w:szCs w:val="24"/>
        </w:rPr>
        <w:t xml:space="preserve"> </w:t>
      </w:r>
      <w:r w:rsidR="00B27C98" w:rsidRPr="007442B6">
        <w:rPr>
          <w:rFonts w:ascii="Times New Roman" w:hAnsi="Times New Roman" w:cs="Times New Roman"/>
          <w:color w:val="000000"/>
          <w:sz w:val="24"/>
          <w:szCs w:val="24"/>
        </w:rPr>
        <w:t xml:space="preserve">Chair’s report rightly point at directions such as the minimum list of elements of the regulation, elements of definition, and geographic scope of brokering activities. ATT States Parties need to establish </w:t>
      </w:r>
      <w:r w:rsidR="006B0ADC" w:rsidRPr="00DA1374">
        <w:rPr>
          <w:rFonts w:ascii="Times New Roman" w:hAnsi="Times New Roman" w:cs="Times New Roman"/>
          <w:sz w:val="24"/>
          <w:szCs w:val="24"/>
        </w:rPr>
        <w:t>a</w:t>
      </w:r>
      <w:r w:rsidR="006B0ADC" w:rsidRPr="00710E34">
        <w:rPr>
          <w:rFonts w:ascii="Times New Roman" w:hAnsi="Times New Roman" w:cs="Times New Roman"/>
          <w:b/>
          <w:bCs/>
          <w:sz w:val="24"/>
          <w:szCs w:val="24"/>
        </w:rPr>
        <w:t xml:space="preserve"> </w:t>
      </w:r>
      <w:r w:rsidR="00B27C98" w:rsidRPr="007442B6">
        <w:rPr>
          <w:rFonts w:ascii="Times New Roman" w:hAnsi="Times New Roman" w:cs="Times New Roman"/>
          <w:color w:val="000000"/>
          <w:sz w:val="24"/>
          <w:szCs w:val="24"/>
        </w:rPr>
        <w:t xml:space="preserve">regulatory framework for arms brokering </w:t>
      </w:r>
      <w:r w:rsidR="00634869" w:rsidRPr="007442B6">
        <w:rPr>
          <w:rFonts w:ascii="Times New Roman" w:hAnsi="Times New Roman" w:cs="Times New Roman"/>
          <w:color w:val="000000"/>
          <w:sz w:val="24"/>
          <w:szCs w:val="24"/>
        </w:rPr>
        <w:t xml:space="preserve">as </w:t>
      </w:r>
      <w:r w:rsidR="00176388" w:rsidRPr="00DA1374">
        <w:rPr>
          <w:rFonts w:ascii="Times New Roman" w:hAnsi="Times New Roman" w:cs="Times New Roman"/>
          <w:sz w:val="24"/>
          <w:szCs w:val="24"/>
        </w:rPr>
        <w:t>the</w:t>
      </w:r>
      <w:r w:rsidR="00634869" w:rsidRPr="00DA1374">
        <w:rPr>
          <w:rFonts w:ascii="Times New Roman" w:hAnsi="Times New Roman" w:cs="Times New Roman"/>
          <w:sz w:val="24"/>
          <w:szCs w:val="24"/>
        </w:rPr>
        <w:t xml:space="preserve"> </w:t>
      </w:r>
      <w:r w:rsidR="00176388" w:rsidRPr="00DA1374">
        <w:rPr>
          <w:rFonts w:ascii="Times New Roman" w:hAnsi="Times New Roman" w:cs="Times New Roman"/>
          <w:sz w:val="24"/>
          <w:szCs w:val="24"/>
        </w:rPr>
        <w:t xml:space="preserve">foundation </w:t>
      </w:r>
      <w:r w:rsidR="00634869" w:rsidRPr="00DA1374">
        <w:rPr>
          <w:rFonts w:ascii="Times New Roman" w:hAnsi="Times New Roman" w:cs="Times New Roman"/>
          <w:sz w:val="24"/>
          <w:szCs w:val="24"/>
        </w:rPr>
        <w:t xml:space="preserve">of </w:t>
      </w:r>
      <w:r w:rsidR="00176388" w:rsidRPr="00DA1374">
        <w:rPr>
          <w:rFonts w:ascii="Times New Roman" w:hAnsi="Times New Roman" w:cs="Times New Roman"/>
          <w:sz w:val="24"/>
          <w:szCs w:val="24"/>
        </w:rPr>
        <w:t xml:space="preserve">a </w:t>
      </w:r>
      <w:r w:rsidR="00634869" w:rsidRPr="00DA1374">
        <w:rPr>
          <w:rFonts w:ascii="Times New Roman" w:hAnsi="Times New Roman" w:cs="Times New Roman"/>
          <w:sz w:val="24"/>
          <w:szCs w:val="24"/>
        </w:rPr>
        <w:t xml:space="preserve">national control system, </w:t>
      </w:r>
      <w:r w:rsidR="00B27C98" w:rsidRPr="00DA1374">
        <w:rPr>
          <w:rFonts w:ascii="Times New Roman" w:hAnsi="Times New Roman" w:cs="Times New Roman"/>
          <w:sz w:val="24"/>
          <w:szCs w:val="24"/>
        </w:rPr>
        <w:t>to</w:t>
      </w:r>
      <w:r w:rsidR="00982B85" w:rsidRPr="00DA1374">
        <w:rPr>
          <w:rFonts w:ascii="Times New Roman" w:hAnsi="Times New Roman" w:cs="Times New Roman"/>
          <w:sz w:val="24"/>
          <w:szCs w:val="24"/>
        </w:rPr>
        <w:t xml:space="preserve"> </w:t>
      </w:r>
      <w:r w:rsidR="0097059C" w:rsidRPr="00DA1374">
        <w:rPr>
          <w:rFonts w:ascii="Times New Roman" w:hAnsi="Times New Roman" w:cs="Times New Roman"/>
          <w:sz w:val="24"/>
          <w:szCs w:val="24"/>
        </w:rPr>
        <w:t xml:space="preserve">address any </w:t>
      </w:r>
      <w:r w:rsidR="00B27C98" w:rsidRPr="00DA1374">
        <w:rPr>
          <w:rFonts w:ascii="Times New Roman" w:hAnsi="Times New Roman" w:cs="Times New Roman"/>
          <w:sz w:val="24"/>
          <w:szCs w:val="24"/>
        </w:rPr>
        <w:t xml:space="preserve">legal </w:t>
      </w:r>
      <w:r w:rsidR="0097059C" w:rsidRPr="00DA1374">
        <w:rPr>
          <w:rFonts w:ascii="Times New Roman" w:hAnsi="Times New Roman" w:cs="Times New Roman"/>
          <w:sz w:val="24"/>
          <w:szCs w:val="24"/>
        </w:rPr>
        <w:t>gaps</w:t>
      </w:r>
      <w:r w:rsidR="00B27C98" w:rsidRPr="00DA1374">
        <w:rPr>
          <w:rFonts w:ascii="Times New Roman" w:hAnsi="Times New Roman" w:cs="Times New Roman"/>
          <w:sz w:val="24"/>
          <w:szCs w:val="24"/>
        </w:rPr>
        <w:t>.</w:t>
      </w:r>
      <w:r w:rsidR="00634869" w:rsidRPr="00DA1374">
        <w:rPr>
          <w:rFonts w:ascii="Times New Roman" w:hAnsi="Times New Roman" w:cs="Times New Roman"/>
          <w:sz w:val="24"/>
          <w:szCs w:val="24"/>
        </w:rPr>
        <w:t xml:space="preserve"> The EU </w:t>
      </w:r>
      <w:r w:rsidR="0097059C" w:rsidRPr="00DA1374">
        <w:rPr>
          <w:rFonts w:ascii="Times New Roman" w:hAnsi="Times New Roman" w:cs="Times New Roman"/>
          <w:sz w:val="24"/>
          <w:szCs w:val="24"/>
        </w:rPr>
        <w:t xml:space="preserve">has </w:t>
      </w:r>
      <w:r w:rsidR="00634869" w:rsidRPr="00DA1374">
        <w:rPr>
          <w:rFonts w:ascii="Times New Roman" w:hAnsi="Times New Roman" w:cs="Times New Roman"/>
          <w:sz w:val="24"/>
          <w:szCs w:val="24"/>
        </w:rPr>
        <w:t xml:space="preserve">adopted this </w:t>
      </w:r>
      <w:r w:rsidR="00634869" w:rsidRPr="007442B6">
        <w:rPr>
          <w:rFonts w:ascii="Times New Roman" w:hAnsi="Times New Roman" w:cs="Times New Roman"/>
          <w:color w:val="000000"/>
          <w:sz w:val="24"/>
          <w:szCs w:val="24"/>
        </w:rPr>
        <w:t>approa</w:t>
      </w:r>
      <w:r w:rsidR="00634869" w:rsidRPr="00982B85">
        <w:rPr>
          <w:rFonts w:ascii="Times New Roman" w:hAnsi="Times New Roman" w:cs="Times New Roman"/>
          <w:color w:val="000000"/>
          <w:sz w:val="24"/>
          <w:szCs w:val="24"/>
        </w:rPr>
        <w:t xml:space="preserve">ch </w:t>
      </w:r>
      <w:r w:rsidR="0097059C" w:rsidRPr="00982B85">
        <w:rPr>
          <w:rFonts w:ascii="Times New Roman" w:hAnsi="Times New Roman" w:cs="Times New Roman"/>
          <w:color w:val="000000"/>
          <w:sz w:val="24"/>
          <w:szCs w:val="24"/>
        </w:rPr>
        <w:t xml:space="preserve">since 2003 </w:t>
      </w:r>
      <w:r w:rsidR="00634869" w:rsidRPr="00982B85">
        <w:rPr>
          <w:rFonts w:ascii="Times New Roman" w:hAnsi="Times New Roman" w:cs="Times New Roman"/>
          <w:color w:val="000000"/>
          <w:sz w:val="24"/>
          <w:szCs w:val="24"/>
        </w:rPr>
        <w:t xml:space="preserve">by adopting common </w:t>
      </w:r>
      <w:r w:rsidR="00491A73" w:rsidRPr="00982B85">
        <w:rPr>
          <w:rFonts w:ascii="Times New Roman" w:hAnsi="Times New Roman" w:cs="Times New Roman"/>
          <w:color w:val="000000"/>
          <w:sz w:val="24"/>
          <w:szCs w:val="24"/>
        </w:rPr>
        <w:t xml:space="preserve">elements </w:t>
      </w:r>
      <w:r w:rsidR="00634869" w:rsidRPr="007442B6">
        <w:rPr>
          <w:rFonts w:ascii="Times New Roman" w:hAnsi="Times New Roman" w:cs="Times New Roman"/>
          <w:color w:val="000000"/>
          <w:sz w:val="24"/>
          <w:szCs w:val="24"/>
        </w:rPr>
        <w:t xml:space="preserve">for all its Member States, alongside the control of </w:t>
      </w:r>
      <w:r w:rsidR="00805A38" w:rsidRPr="007442B6">
        <w:rPr>
          <w:rFonts w:ascii="Times New Roman" w:hAnsi="Times New Roman" w:cs="Times New Roman"/>
          <w:color w:val="000000"/>
          <w:sz w:val="24"/>
          <w:szCs w:val="24"/>
        </w:rPr>
        <w:t xml:space="preserve">licensing of arms exports. The </w:t>
      </w:r>
      <w:r w:rsidR="00491A73" w:rsidRPr="00982B85">
        <w:rPr>
          <w:rFonts w:ascii="Times New Roman" w:hAnsi="Times New Roman" w:cs="Times New Roman"/>
          <w:color w:val="000000"/>
          <w:sz w:val="24"/>
          <w:szCs w:val="24"/>
        </w:rPr>
        <w:t xml:space="preserve">experience of </w:t>
      </w:r>
      <w:r w:rsidR="00805A38" w:rsidRPr="00982B85">
        <w:rPr>
          <w:rFonts w:ascii="Times New Roman" w:hAnsi="Times New Roman" w:cs="Times New Roman"/>
          <w:color w:val="000000"/>
          <w:sz w:val="24"/>
          <w:szCs w:val="24"/>
        </w:rPr>
        <w:t xml:space="preserve">EU </w:t>
      </w:r>
      <w:r w:rsidR="00491A73" w:rsidRPr="00982B85">
        <w:rPr>
          <w:rFonts w:ascii="Times New Roman" w:hAnsi="Times New Roman" w:cs="Times New Roman"/>
          <w:color w:val="000000"/>
          <w:sz w:val="24"/>
          <w:szCs w:val="24"/>
        </w:rPr>
        <w:t>Member States in this regard, accrued over 20 years, can help to advance</w:t>
      </w:r>
      <w:r w:rsidR="00805A38" w:rsidRPr="00902247">
        <w:rPr>
          <w:rFonts w:ascii="Times New Roman" w:hAnsi="Times New Roman" w:cs="Times New Roman"/>
          <w:color w:val="000000"/>
          <w:sz w:val="24"/>
          <w:szCs w:val="24"/>
        </w:rPr>
        <w:t xml:space="preserve"> </w:t>
      </w:r>
      <w:r w:rsidR="00491A73" w:rsidRPr="00982B85">
        <w:rPr>
          <w:rFonts w:ascii="Times New Roman" w:hAnsi="Times New Roman" w:cs="Times New Roman"/>
          <w:color w:val="000000"/>
          <w:sz w:val="24"/>
          <w:szCs w:val="24"/>
        </w:rPr>
        <w:t>our collective</w:t>
      </w:r>
      <w:r w:rsidR="00491A73">
        <w:rPr>
          <w:rFonts w:ascii="Times New Roman" w:hAnsi="Times New Roman" w:cs="Times New Roman"/>
          <w:b/>
          <w:bCs/>
          <w:color w:val="000000"/>
          <w:sz w:val="24"/>
          <w:szCs w:val="24"/>
        </w:rPr>
        <w:t xml:space="preserve"> </w:t>
      </w:r>
      <w:r w:rsidR="00805A38" w:rsidRPr="007442B6">
        <w:rPr>
          <w:rFonts w:ascii="Times New Roman" w:hAnsi="Times New Roman" w:cs="Times New Roman"/>
          <w:color w:val="000000"/>
          <w:sz w:val="24"/>
          <w:szCs w:val="24"/>
        </w:rPr>
        <w:t>work</w:t>
      </w:r>
      <w:r w:rsidR="00902247" w:rsidRPr="00902247">
        <w:rPr>
          <w:rFonts w:ascii="Times New Roman" w:hAnsi="Times New Roman" w:cs="Times New Roman"/>
          <w:color w:val="000000"/>
          <w:sz w:val="24"/>
          <w:szCs w:val="24"/>
        </w:rPr>
        <w:t xml:space="preserve"> </w:t>
      </w:r>
      <w:r w:rsidR="00805A38" w:rsidRPr="007442B6">
        <w:rPr>
          <w:rFonts w:ascii="Times New Roman" w:hAnsi="Times New Roman" w:cs="Times New Roman"/>
          <w:color w:val="000000"/>
          <w:sz w:val="24"/>
          <w:szCs w:val="24"/>
        </w:rPr>
        <w:t>within the ATT.</w:t>
      </w:r>
    </w:p>
    <w:p w14:paraId="1F2F7242" w14:textId="4CC87F2B" w:rsidR="00AB4359" w:rsidRPr="007442B6" w:rsidRDefault="00AB4359" w:rsidP="007442B6">
      <w:pPr>
        <w:jc w:val="both"/>
        <w:rPr>
          <w:rFonts w:ascii="Times New Roman" w:hAnsi="Times New Roman" w:cs="Times New Roman"/>
          <w:sz w:val="24"/>
          <w:szCs w:val="24"/>
        </w:rPr>
      </w:pPr>
      <w:r w:rsidRPr="007442B6">
        <w:rPr>
          <w:rFonts w:ascii="Times New Roman" w:hAnsi="Times New Roman" w:cs="Times New Roman"/>
          <w:sz w:val="24"/>
          <w:szCs w:val="24"/>
        </w:rPr>
        <w:lastRenderedPageBreak/>
        <w:t xml:space="preserve">The EU </w:t>
      </w:r>
      <w:r w:rsidR="0001169C" w:rsidRPr="007442B6">
        <w:rPr>
          <w:rFonts w:ascii="Times New Roman" w:hAnsi="Times New Roman" w:cs="Times New Roman"/>
          <w:sz w:val="24"/>
          <w:szCs w:val="24"/>
        </w:rPr>
        <w:t xml:space="preserve">draws similar conclusions </w:t>
      </w:r>
      <w:r w:rsidR="002E50D2" w:rsidRPr="007442B6">
        <w:rPr>
          <w:rFonts w:ascii="Times New Roman" w:hAnsi="Times New Roman" w:cs="Times New Roman"/>
          <w:sz w:val="24"/>
          <w:szCs w:val="24"/>
        </w:rPr>
        <w:t>regarding</w:t>
      </w:r>
      <w:r w:rsidR="0001169C" w:rsidRPr="007442B6">
        <w:rPr>
          <w:rFonts w:ascii="Times New Roman" w:hAnsi="Times New Roman" w:cs="Times New Roman"/>
          <w:sz w:val="24"/>
          <w:szCs w:val="24"/>
        </w:rPr>
        <w:t xml:space="preserve"> national control lists. </w:t>
      </w:r>
      <w:r w:rsidR="002E50D2" w:rsidRPr="007442B6">
        <w:rPr>
          <w:rFonts w:ascii="Times New Roman" w:hAnsi="Times New Roman" w:cs="Times New Roman"/>
          <w:sz w:val="24"/>
          <w:szCs w:val="24"/>
        </w:rPr>
        <w:t xml:space="preserve">The discussion was very useful in revealing </w:t>
      </w:r>
      <w:r w:rsidR="00C53127" w:rsidRPr="007442B6">
        <w:rPr>
          <w:rFonts w:ascii="Times New Roman" w:hAnsi="Times New Roman" w:cs="Times New Roman"/>
          <w:sz w:val="24"/>
          <w:szCs w:val="24"/>
        </w:rPr>
        <w:t xml:space="preserve">the </w:t>
      </w:r>
      <w:r w:rsidR="002E50D2" w:rsidRPr="007442B6">
        <w:rPr>
          <w:rFonts w:ascii="Times New Roman" w:hAnsi="Times New Roman" w:cs="Times New Roman"/>
          <w:sz w:val="24"/>
          <w:szCs w:val="24"/>
        </w:rPr>
        <w:t xml:space="preserve">multiplicity of challenges in design and national adoption of lists, but at the same time </w:t>
      </w:r>
      <w:r w:rsidR="00717AD8" w:rsidRPr="007442B6">
        <w:rPr>
          <w:rFonts w:ascii="Times New Roman" w:hAnsi="Times New Roman" w:cs="Times New Roman"/>
          <w:sz w:val="24"/>
          <w:szCs w:val="24"/>
        </w:rPr>
        <w:t>unambiguously</w:t>
      </w:r>
      <w:r w:rsidR="002E50D2" w:rsidRPr="007442B6">
        <w:rPr>
          <w:rFonts w:ascii="Times New Roman" w:hAnsi="Times New Roman" w:cs="Times New Roman"/>
          <w:sz w:val="24"/>
          <w:szCs w:val="24"/>
        </w:rPr>
        <w:t xml:space="preserve"> showed the benefits of </w:t>
      </w:r>
      <w:r w:rsidR="002E50D2" w:rsidRPr="00DA1374">
        <w:rPr>
          <w:rFonts w:ascii="Times New Roman" w:hAnsi="Times New Roman" w:cs="Times New Roman"/>
          <w:sz w:val="24"/>
          <w:szCs w:val="24"/>
        </w:rPr>
        <w:t xml:space="preserve">having </w:t>
      </w:r>
      <w:r w:rsidR="006B0ADC" w:rsidRPr="00DA1374">
        <w:rPr>
          <w:rFonts w:ascii="Times New Roman" w:hAnsi="Times New Roman" w:cs="Times New Roman"/>
          <w:sz w:val="24"/>
          <w:szCs w:val="24"/>
        </w:rPr>
        <w:t xml:space="preserve">convergent </w:t>
      </w:r>
      <w:r w:rsidR="008F7605" w:rsidRPr="00DA1374">
        <w:rPr>
          <w:rFonts w:ascii="Times New Roman" w:hAnsi="Times New Roman" w:cs="Times New Roman"/>
          <w:sz w:val="24"/>
          <w:szCs w:val="24"/>
        </w:rPr>
        <w:t>national lists</w:t>
      </w:r>
      <w:r w:rsidR="002E50D2" w:rsidRPr="00DA1374">
        <w:rPr>
          <w:rFonts w:ascii="Times New Roman" w:hAnsi="Times New Roman" w:cs="Times New Roman"/>
          <w:sz w:val="24"/>
          <w:szCs w:val="24"/>
        </w:rPr>
        <w:t xml:space="preserve">, or even </w:t>
      </w:r>
      <w:r w:rsidR="006B0ADC" w:rsidRPr="00DA1374">
        <w:rPr>
          <w:rFonts w:ascii="Times New Roman" w:hAnsi="Times New Roman" w:cs="Times New Roman"/>
          <w:sz w:val="24"/>
          <w:szCs w:val="24"/>
        </w:rPr>
        <w:t xml:space="preserve">comparable </w:t>
      </w:r>
      <w:r w:rsidR="00343A48" w:rsidRPr="00DA1374">
        <w:rPr>
          <w:rFonts w:ascii="Times New Roman" w:hAnsi="Times New Roman" w:cs="Times New Roman"/>
          <w:sz w:val="24"/>
          <w:szCs w:val="24"/>
        </w:rPr>
        <w:t xml:space="preserve">across </w:t>
      </w:r>
      <w:r w:rsidR="006B0ADC" w:rsidRPr="00DA1374">
        <w:rPr>
          <w:rFonts w:ascii="Times New Roman" w:hAnsi="Times New Roman" w:cs="Times New Roman"/>
          <w:sz w:val="24"/>
          <w:szCs w:val="24"/>
        </w:rPr>
        <w:t>s</w:t>
      </w:r>
      <w:r w:rsidR="00343A48" w:rsidRPr="00DA1374">
        <w:rPr>
          <w:rFonts w:ascii="Times New Roman" w:hAnsi="Times New Roman" w:cs="Times New Roman"/>
          <w:sz w:val="24"/>
          <w:szCs w:val="24"/>
        </w:rPr>
        <w:t>tate</w:t>
      </w:r>
      <w:r w:rsidR="006B0ADC" w:rsidRPr="00DA1374">
        <w:rPr>
          <w:rFonts w:ascii="Times New Roman" w:hAnsi="Times New Roman" w:cs="Times New Roman"/>
          <w:sz w:val="24"/>
          <w:szCs w:val="24"/>
        </w:rPr>
        <w:t>s</w:t>
      </w:r>
      <w:r w:rsidR="00343A48" w:rsidRPr="00DA1374">
        <w:rPr>
          <w:rFonts w:ascii="Times New Roman" w:hAnsi="Times New Roman" w:cs="Times New Roman"/>
          <w:sz w:val="24"/>
          <w:szCs w:val="24"/>
        </w:rPr>
        <w:t xml:space="preserve"> </w:t>
      </w:r>
      <w:r w:rsidR="006B0ADC" w:rsidRPr="00DA1374">
        <w:rPr>
          <w:rFonts w:ascii="Times New Roman" w:hAnsi="Times New Roman" w:cs="Times New Roman"/>
          <w:sz w:val="24"/>
          <w:szCs w:val="24"/>
        </w:rPr>
        <w:t xml:space="preserve">members of </w:t>
      </w:r>
      <w:r w:rsidR="00976C6F" w:rsidRPr="00DA1374">
        <w:rPr>
          <w:rFonts w:ascii="Times New Roman" w:hAnsi="Times New Roman" w:cs="Times New Roman"/>
          <w:sz w:val="24"/>
          <w:szCs w:val="24"/>
        </w:rPr>
        <w:t>multilateral export control regimes</w:t>
      </w:r>
      <w:r w:rsidR="00343A48" w:rsidRPr="00DA1374">
        <w:rPr>
          <w:rFonts w:ascii="Times New Roman" w:hAnsi="Times New Roman" w:cs="Times New Roman"/>
          <w:sz w:val="24"/>
          <w:szCs w:val="24"/>
        </w:rPr>
        <w:t xml:space="preserve">. The EU reiterates the practical value of the EU Common Military List that is </w:t>
      </w:r>
      <w:r w:rsidR="00CA047E" w:rsidRPr="00DA1374">
        <w:rPr>
          <w:rFonts w:ascii="Times New Roman" w:hAnsi="Times New Roman" w:cs="Times New Roman"/>
          <w:sz w:val="24"/>
          <w:szCs w:val="24"/>
        </w:rPr>
        <w:t xml:space="preserve">a transcription of the Wassenaar Arrangement Munition List and is </w:t>
      </w:r>
      <w:r w:rsidR="00343A48" w:rsidRPr="00DA1374">
        <w:rPr>
          <w:rFonts w:ascii="Times New Roman" w:hAnsi="Times New Roman" w:cs="Times New Roman"/>
          <w:sz w:val="24"/>
          <w:szCs w:val="24"/>
        </w:rPr>
        <w:t>applied alongside more extensive</w:t>
      </w:r>
      <w:r w:rsidR="00343A48" w:rsidRPr="00710E34">
        <w:rPr>
          <w:rFonts w:ascii="Times New Roman" w:hAnsi="Times New Roman" w:cs="Times New Roman"/>
          <w:sz w:val="24"/>
          <w:szCs w:val="24"/>
        </w:rPr>
        <w:t xml:space="preserve"> national lists. </w:t>
      </w:r>
      <w:r w:rsidR="008F7605" w:rsidRPr="00710E34">
        <w:rPr>
          <w:rFonts w:ascii="Times New Roman" w:hAnsi="Times New Roman" w:cs="Times New Roman"/>
          <w:sz w:val="24"/>
          <w:szCs w:val="24"/>
        </w:rPr>
        <w:t xml:space="preserve">We are strongly convinced that national lists designed to encompass all </w:t>
      </w:r>
      <w:r w:rsidR="008F7605" w:rsidRPr="007442B6">
        <w:rPr>
          <w:rFonts w:ascii="Times New Roman" w:hAnsi="Times New Roman" w:cs="Times New Roman"/>
          <w:sz w:val="24"/>
          <w:szCs w:val="24"/>
        </w:rPr>
        <w:t xml:space="preserve">ATT categories are </w:t>
      </w:r>
      <w:r w:rsidR="00491A73" w:rsidRPr="00982B85">
        <w:rPr>
          <w:rFonts w:ascii="Times New Roman" w:hAnsi="Times New Roman" w:cs="Times New Roman"/>
          <w:sz w:val="24"/>
          <w:szCs w:val="24"/>
        </w:rPr>
        <w:t xml:space="preserve">crucial for </w:t>
      </w:r>
      <w:r w:rsidR="008F7605" w:rsidRPr="00982B85">
        <w:rPr>
          <w:rFonts w:ascii="Times New Roman" w:hAnsi="Times New Roman" w:cs="Times New Roman"/>
          <w:sz w:val="24"/>
          <w:szCs w:val="24"/>
        </w:rPr>
        <w:t xml:space="preserve">effective ATT </w:t>
      </w:r>
      <w:r w:rsidR="008F7605" w:rsidRPr="00DA1374">
        <w:rPr>
          <w:rFonts w:ascii="Times New Roman" w:hAnsi="Times New Roman" w:cs="Times New Roman"/>
          <w:sz w:val="24"/>
          <w:szCs w:val="24"/>
        </w:rPr>
        <w:t xml:space="preserve">implementation and </w:t>
      </w:r>
      <w:r w:rsidR="00491A73" w:rsidRPr="00DA1374">
        <w:rPr>
          <w:rFonts w:ascii="Times New Roman" w:hAnsi="Times New Roman" w:cs="Times New Roman"/>
          <w:sz w:val="24"/>
          <w:szCs w:val="24"/>
        </w:rPr>
        <w:t xml:space="preserve">are </w:t>
      </w:r>
      <w:r w:rsidR="00176388" w:rsidRPr="00DA1374">
        <w:rPr>
          <w:rFonts w:ascii="Times New Roman" w:hAnsi="Times New Roman" w:cs="Times New Roman"/>
          <w:sz w:val="24"/>
          <w:szCs w:val="24"/>
        </w:rPr>
        <w:t xml:space="preserve">essential for </w:t>
      </w:r>
      <w:r w:rsidR="00976C6F" w:rsidRPr="00DA1374">
        <w:rPr>
          <w:rFonts w:ascii="Times New Roman" w:hAnsi="Times New Roman" w:cs="Times New Roman"/>
          <w:sz w:val="24"/>
          <w:szCs w:val="24"/>
        </w:rPr>
        <w:t>robust</w:t>
      </w:r>
      <w:r w:rsidR="008F7605" w:rsidRPr="00DA1374">
        <w:rPr>
          <w:rFonts w:ascii="Times New Roman" w:hAnsi="Times New Roman" w:cs="Times New Roman"/>
          <w:sz w:val="24"/>
          <w:szCs w:val="24"/>
        </w:rPr>
        <w:t xml:space="preserve"> national control systems. Therefore, we encourage</w:t>
      </w:r>
      <w:r w:rsidR="00976C6F" w:rsidRPr="00DA1374">
        <w:rPr>
          <w:rFonts w:ascii="Times New Roman" w:hAnsi="Times New Roman" w:cs="Times New Roman"/>
          <w:sz w:val="24"/>
          <w:szCs w:val="24"/>
        </w:rPr>
        <w:t xml:space="preserve"> to set</w:t>
      </w:r>
      <w:r w:rsidR="001343F1" w:rsidRPr="00DA1374">
        <w:rPr>
          <w:rFonts w:ascii="Times New Roman" w:hAnsi="Times New Roman" w:cs="Times New Roman"/>
          <w:sz w:val="24"/>
          <w:szCs w:val="24"/>
        </w:rPr>
        <w:t>ting</w:t>
      </w:r>
      <w:r w:rsidR="00976C6F" w:rsidRPr="00DA1374">
        <w:rPr>
          <w:rFonts w:ascii="Times New Roman" w:hAnsi="Times New Roman" w:cs="Times New Roman"/>
          <w:sz w:val="24"/>
          <w:szCs w:val="24"/>
        </w:rPr>
        <w:t xml:space="preserve"> </w:t>
      </w:r>
      <w:r w:rsidR="00976C6F" w:rsidRPr="007442B6">
        <w:rPr>
          <w:rFonts w:ascii="Times New Roman" w:hAnsi="Times New Roman" w:cs="Times New Roman"/>
          <w:sz w:val="24"/>
          <w:szCs w:val="24"/>
        </w:rPr>
        <w:t>objectives related to facilitating the adoption of ATT-compatible national control lists by all States Parties</w:t>
      </w:r>
      <w:r w:rsidR="00DA1374">
        <w:rPr>
          <w:rFonts w:ascii="Times New Roman" w:hAnsi="Times New Roman" w:cs="Times New Roman"/>
          <w:sz w:val="24"/>
          <w:szCs w:val="24"/>
        </w:rPr>
        <w:t xml:space="preserve">. </w:t>
      </w:r>
      <w:r w:rsidR="00A03B99" w:rsidRPr="007442B6">
        <w:rPr>
          <w:rFonts w:ascii="Times New Roman" w:hAnsi="Times New Roman" w:cs="Times New Roman"/>
          <w:sz w:val="24"/>
          <w:szCs w:val="24"/>
        </w:rPr>
        <w:t>F</w:t>
      </w:r>
      <w:r w:rsidRPr="007442B6">
        <w:rPr>
          <w:rFonts w:ascii="Times New Roman" w:hAnsi="Times New Roman" w:cs="Times New Roman"/>
          <w:sz w:val="24"/>
          <w:szCs w:val="24"/>
        </w:rPr>
        <w:t xml:space="preserve">urther exchanges could focus on practical examples, model lists and standardized templates, while avoiding duplication and remaining within the ATT’s mandate. In this context, the EU finds the re-engagement with the World Customs Organisation </w:t>
      </w:r>
      <w:r w:rsidR="00A03B99" w:rsidRPr="007442B6">
        <w:rPr>
          <w:rFonts w:ascii="Times New Roman" w:hAnsi="Times New Roman" w:cs="Times New Roman"/>
          <w:sz w:val="24"/>
          <w:szCs w:val="24"/>
        </w:rPr>
        <w:t xml:space="preserve">very </w:t>
      </w:r>
      <w:r w:rsidRPr="007442B6">
        <w:rPr>
          <w:rFonts w:ascii="Times New Roman" w:hAnsi="Times New Roman" w:cs="Times New Roman"/>
          <w:sz w:val="24"/>
          <w:szCs w:val="24"/>
        </w:rPr>
        <w:t>useful, particularly in relation to identification of controlled items in practice and enforcement arrangements.</w:t>
      </w:r>
    </w:p>
    <w:p w14:paraId="339719C7" w14:textId="043B4732" w:rsidR="000075AC" w:rsidRPr="00CA047E" w:rsidRDefault="00A03B99" w:rsidP="007442B6">
      <w:pPr>
        <w:jc w:val="both"/>
        <w:rPr>
          <w:rFonts w:ascii="Times New Roman" w:hAnsi="Times New Roman" w:cs="Times New Roman"/>
          <w:sz w:val="24"/>
          <w:szCs w:val="24"/>
        </w:rPr>
      </w:pPr>
      <w:r w:rsidRPr="007442B6">
        <w:rPr>
          <w:rFonts w:ascii="Times New Roman" w:hAnsi="Times New Roman" w:cs="Times New Roman"/>
          <w:color w:val="000000"/>
          <w:sz w:val="24"/>
          <w:szCs w:val="24"/>
        </w:rPr>
        <w:t xml:space="preserve">Regarding risk assessment, the EU is thankful for the opportunity to present our solutions at the WGETI meeting and welcomes that the report reflects the importance of elements </w:t>
      </w:r>
      <w:r w:rsidR="00491A73" w:rsidRPr="00982B85">
        <w:rPr>
          <w:rFonts w:ascii="Times New Roman" w:hAnsi="Times New Roman" w:cs="Times New Roman"/>
          <w:color w:val="000000"/>
          <w:sz w:val="24"/>
          <w:szCs w:val="24"/>
        </w:rPr>
        <w:t xml:space="preserve">that are </w:t>
      </w:r>
      <w:r w:rsidR="00491A73" w:rsidRPr="00DA1374">
        <w:rPr>
          <w:rFonts w:ascii="Times New Roman" w:hAnsi="Times New Roman" w:cs="Times New Roman"/>
          <w:sz w:val="24"/>
          <w:szCs w:val="24"/>
        </w:rPr>
        <w:t xml:space="preserve">crucial </w:t>
      </w:r>
      <w:r w:rsidR="001343F1" w:rsidRPr="00DA1374">
        <w:rPr>
          <w:rFonts w:ascii="Times New Roman" w:hAnsi="Times New Roman" w:cs="Times New Roman"/>
          <w:sz w:val="24"/>
          <w:szCs w:val="24"/>
        </w:rPr>
        <w:t xml:space="preserve">to </w:t>
      </w:r>
      <w:r w:rsidRPr="00DA1374">
        <w:rPr>
          <w:rFonts w:ascii="Times New Roman" w:hAnsi="Times New Roman" w:cs="Times New Roman"/>
          <w:sz w:val="24"/>
          <w:szCs w:val="24"/>
        </w:rPr>
        <w:t xml:space="preserve">the </w:t>
      </w:r>
      <w:r w:rsidRPr="007442B6">
        <w:rPr>
          <w:rFonts w:ascii="Times New Roman" w:hAnsi="Times New Roman" w:cs="Times New Roman"/>
          <w:color w:val="000000"/>
          <w:sz w:val="24"/>
          <w:szCs w:val="24"/>
        </w:rPr>
        <w:t>EU’s own framework: forward-looking, evidence-based analysis and of cooperation and information-sharing among States Parties. The EU supports the recommendation encouraging the Sub-working Group to continue addressing issues concerning the application of Articles 6 &amp; 7</w:t>
      </w:r>
      <w:r w:rsidR="00DA1374">
        <w:rPr>
          <w:rFonts w:ascii="Times New Roman" w:hAnsi="Times New Roman" w:cs="Times New Roman"/>
          <w:color w:val="000000"/>
          <w:sz w:val="24"/>
          <w:szCs w:val="24"/>
        </w:rPr>
        <w:t>.</w:t>
      </w:r>
    </w:p>
    <w:p w14:paraId="35E3EEE6" w14:textId="0909F0F3" w:rsidR="00D77068" w:rsidRPr="007442B6" w:rsidRDefault="00AB4359" w:rsidP="000075AC">
      <w:pPr>
        <w:autoSpaceDE w:val="0"/>
        <w:autoSpaceDN w:val="0"/>
        <w:adjustRightInd w:val="0"/>
        <w:spacing w:after="120" w:line="254" w:lineRule="auto"/>
        <w:jc w:val="both"/>
        <w:rPr>
          <w:rFonts w:ascii="Times New Roman" w:hAnsi="Times New Roman" w:cs="Times New Roman"/>
          <w:color w:val="000000"/>
          <w:sz w:val="24"/>
          <w:szCs w:val="24"/>
        </w:rPr>
      </w:pPr>
      <w:r w:rsidRPr="007442B6">
        <w:rPr>
          <w:rFonts w:ascii="Times New Roman" w:hAnsi="Times New Roman" w:cs="Times New Roman"/>
          <w:color w:val="000000"/>
          <w:sz w:val="24"/>
          <w:szCs w:val="24"/>
        </w:rPr>
        <w:t xml:space="preserve">On the role of industry in responsible international arms transfers, the EU supports continued consideration of a list of reference materials and possible voluntary guidance linking human rights and IHL due diligence by industry actors and ATT implementation. </w:t>
      </w:r>
      <w:r w:rsidR="00D77068" w:rsidRPr="007442B6">
        <w:rPr>
          <w:rFonts w:ascii="Times New Roman" w:hAnsi="Times New Roman" w:cs="Times New Roman"/>
          <w:color w:val="000000"/>
          <w:sz w:val="24"/>
          <w:szCs w:val="24"/>
        </w:rPr>
        <w:t>We are ready to engage in the proposed consultations to be coordinated by the ATT Secretariat.</w:t>
      </w:r>
    </w:p>
    <w:p w14:paraId="1BEC3DA6" w14:textId="54B1633F" w:rsidR="00A44E58" w:rsidRPr="00DA1374" w:rsidRDefault="00D77068" w:rsidP="00DA1374">
      <w:pPr>
        <w:jc w:val="both"/>
        <w:rPr>
          <w:rFonts w:ascii="Times New Roman" w:hAnsi="Times New Roman" w:cs="Times New Roman"/>
          <w:sz w:val="24"/>
          <w:szCs w:val="24"/>
        </w:rPr>
      </w:pPr>
      <w:r w:rsidRPr="007442B6">
        <w:rPr>
          <w:rFonts w:ascii="Times New Roman" w:hAnsi="Times New Roman" w:cs="Times New Roman"/>
          <w:sz w:val="24"/>
          <w:szCs w:val="24"/>
        </w:rPr>
        <w:t xml:space="preserve">The EU would </w:t>
      </w:r>
      <w:r w:rsidR="000075AC" w:rsidRPr="007442B6">
        <w:rPr>
          <w:rFonts w:ascii="Times New Roman" w:hAnsi="Times New Roman" w:cs="Times New Roman"/>
          <w:sz w:val="24"/>
          <w:szCs w:val="24"/>
        </w:rPr>
        <w:t xml:space="preserve">also </w:t>
      </w:r>
      <w:r w:rsidRPr="007442B6">
        <w:rPr>
          <w:rFonts w:ascii="Times New Roman" w:hAnsi="Times New Roman" w:cs="Times New Roman"/>
          <w:sz w:val="24"/>
          <w:szCs w:val="24"/>
        </w:rPr>
        <w:t>like to express full support to other recommendations, regarding GBV, inter-agency cooperation, and maritime security.</w:t>
      </w:r>
    </w:p>
    <w:p w14:paraId="4FA361BC" w14:textId="77777777" w:rsidR="00DA1374" w:rsidRDefault="00DA1374" w:rsidP="00A44E58">
      <w:pPr>
        <w:autoSpaceDE w:val="0"/>
        <w:autoSpaceDN w:val="0"/>
        <w:adjustRightInd w:val="0"/>
        <w:spacing w:after="120" w:line="254" w:lineRule="auto"/>
        <w:jc w:val="both"/>
        <w:rPr>
          <w:rFonts w:ascii="Times New Roman" w:hAnsi="Times New Roman" w:cs="Times New Roman"/>
          <w:b/>
          <w:sz w:val="24"/>
          <w:szCs w:val="24"/>
        </w:rPr>
      </w:pPr>
    </w:p>
    <w:p w14:paraId="16D51224" w14:textId="7504AE65" w:rsidR="006562D1" w:rsidRPr="00A44E58" w:rsidRDefault="006562D1" w:rsidP="00A44E58">
      <w:pPr>
        <w:autoSpaceDE w:val="0"/>
        <w:autoSpaceDN w:val="0"/>
        <w:adjustRightInd w:val="0"/>
        <w:spacing w:after="120" w:line="254" w:lineRule="auto"/>
        <w:jc w:val="both"/>
        <w:rPr>
          <w:rFonts w:ascii="Times New Roman" w:hAnsi="Times New Roman" w:cs="Times New Roman"/>
          <w:strike/>
          <w:color w:val="000000"/>
          <w:sz w:val="24"/>
          <w:szCs w:val="24"/>
        </w:rPr>
      </w:pPr>
      <w:r w:rsidRPr="003D3D51">
        <w:rPr>
          <w:rFonts w:ascii="Times New Roman" w:hAnsi="Times New Roman" w:cs="Times New Roman"/>
          <w:b/>
          <w:sz w:val="24"/>
          <w:szCs w:val="24"/>
        </w:rPr>
        <w:t>2b. Working Group on Transparency and Reporting (WGTR)</w:t>
      </w:r>
    </w:p>
    <w:p w14:paraId="0725BBE2" w14:textId="195B4FCB" w:rsidR="00095985" w:rsidRPr="00C662FE" w:rsidRDefault="00095985" w:rsidP="00C662FE">
      <w:pPr>
        <w:spacing w:after="120" w:line="254" w:lineRule="auto"/>
        <w:jc w:val="both"/>
        <w:rPr>
          <w:rFonts w:ascii="Times New Roman" w:hAnsi="Times New Roman" w:cs="Times New Roman"/>
          <w:color w:val="000000"/>
          <w:sz w:val="24"/>
          <w:szCs w:val="24"/>
        </w:rPr>
      </w:pPr>
      <w:r w:rsidRPr="00C662FE">
        <w:rPr>
          <w:rFonts w:ascii="Times New Roman" w:hAnsi="Times New Roman" w:cs="Times New Roman"/>
          <w:sz w:val="24"/>
          <w:szCs w:val="24"/>
        </w:rPr>
        <w:t xml:space="preserve">The EU would like to thank </w:t>
      </w:r>
      <w:r w:rsidR="0036618A">
        <w:rPr>
          <w:rFonts w:ascii="Times New Roman" w:hAnsi="Times New Roman" w:cs="Times New Roman"/>
          <w:sz w:val="24"/>
          <w:szCs w:val="24"/>
        </w:rPr>
        <w:t>M</w:t>
      </w:r>
      <w:r w:rsidR="00D61787">
        <w:rPr>
          <w:rFonts w:ascii="Times New Roman" w:hAnsi="Times New Roman" w:cs="Times New Roman"/>
          <w:sz w:val="24"/>
          <w:szCs w:val="24"/>
        </w:rPr>
        <w:t>s</w:t>
      </w:r>
      <w:r w:rsidR="0036618A">
        <w:rPr>
          <w:rFonts w:ascii="Times New Roman" w:hAnsi="Times New Roman" w:cs="Times New Roman"/>
          <w:sz w:val="24"/>
          <w:szCs w:val="24"/>
        </w:rPr>
        <w:t xml:space="preserve">. </w:t>
      </w:r>
      <w:r w:rsidR="0036618A" w:rsidRPr="0036618A">
        <w:rPr>
          <w:rFonts w:ascii="Times New Roman" w:hAnsi="Times New Roman" w:cs="Times New Roman"/>
          <w:sz w:val="24"/>
          <w:szCs w:val="24"/>
        </w:rPr>
        <w:t>Winkelried Salazar of Peru</w:t>
      </w:r>
      <w:r w:rsidR="0036618A">
        <w:rPr>
          <w:rFonts w:ascii="Times New Roman" w:hAnsi="Times New Roman" w:cs="Times New Roman"/>
          <w:sz w:val="24"/>
          <w:szCs w:val="24"/>
        </w:rPr>
        <w:t xml:space="preserve"> </w:t>
      </w:r>
      <w:r w:rsidRPr="00C662FE">
        <w:rPr>
          <w:rFonts w:ascii="Times New Roman" w:hAnsi="Times New Roman" w:cs="Times New Roman"/>
          <w:color w:val="000000"/>
          <w:sz w:val="24"/>
          <w:szCs w:val="24"/>
        </w:rPr>
        <w:t xml:space="preserve">for </w:t>
      </w:r>
      <w:r w:rsidR="00697A0B" w:rsidRPr="00982B85">
        <w:rPr>
          <w:rFonts w:ascii="Times New Roman" w:hAnsi="Times New Roman" w:cs="Times New Roman"/>
          <w:color w:val="000000"/>
          <w:sz w:val="24"/>
          <w:szCs w:val="24"/>
        </w:rPr>
        <w:t>effectively</w:t>
      </w:r>
      <w:r w:rsidR="00697A0B">
        <w:rPr>
          <w:rFonts w:ascii="Times New Roman" w:hAnsi="Times New Roman" w:cs="Times New Roman"/>
          <w:b/>
          <w:bCs/>
          <w:color w:val="000000"/>
          <w:sz w:val="24"/>
          <w:szCs w:val="24"/>
        </w:rPr>
        <w:t xml:space="preserve"> </w:t>
      </w:r>
      <w:r w:rsidRPr="00C662FE">
        <w:rPr>
          <w:rFonts w:ascii="Times New Roman" w:hAnsi="Times New Roman" w:cs="Times New Roman"/>
          <w:color w:val="000000"/>
          <w:sz w:val="24"/>
          <w:szCs w:val="24"/>
        </w:rPr>
        <w:t>chairing the Working Group’s meetings</w:t>
      </w:r>
      <w:r w:rsidR="0060685C" w:rsidRPr="00C662FE">
        <w:rPr>
          <w:rFonts w:ascii="Times New Roman" w:hAnsi="Times New Roman" w:cs="Times New Roman"/>
          <w:color w:val="000000"/>
          <w:sz w:val="24"/>
          <w:szCs w:val="24"/>
        </w:rPr>
        <w:t xml:space="preserve"> </w:t>
      </w:r>
      <w:r w:rsidR="00697A0B" w:rsidRPr="00982B85">
        <w:rPr>
          <w:rFonts w:ascii="Times New Roman" w:hAnsi="Times New Roman" w:cs="Times New Roman"/>
          <w:color w:val="000000"/>
          <w:sz w:val="24"/>
          <w:szCs w:val="24"/>
        </w:rPr>
        <w:t>and for the draft report.</w:t>
      </w:r>
      <w:r w:rsidR="00697A0B">
        <w:rPr>
          <w:rFonts w:ascii="Times New Roman" w:hAnsi="Times New Roman" w:cs="Times New Roman"/>
          <w:b/>
          <w:bCs/>
          <w:color w:val="000000"/>
          <w:sz w:val="24"/>
          <w:szCs w:val="24"/>
        </w:rPr>
        <w:t xml:space="preserve"> </w:t>
      </w:r>
      <w:r w:rsidR="0060685C" w:rsidRPr="00C662FE">
        <w:rPr>
          <w:rFonts w:ascii="Times New Roman" w:hAnsi="Times New Roman" w:cs="Times New Roman"/>
          <w:color w:val="000000"/>
          <w:sz w:val="24"/>
          <w:szCs w:val="24"/>
        </w:rPr>
        <w:t>In our view, the report accurately captures the work and issues to address. We su</w:t>
      </w:r>
      <w:r w:rsidR="00103979" w:rsidRPr="00C662FE">
        <w:rPr>
          <w:rFonts w:ascii="Times New Roman" w:hAnsi="Times New Roman" w:cs="Times New Roman"/>
          <w:color w:val="000000"/>
          <w:sz w:val="24"/>
          <w:szCs w:val="24"/>
        </w:rPr>
        <w:t>p</w:t>
      </w:r>
      <w:r w:rsidR="00655F7F" w:rsidRPr="00C662FE">
        <w:rPr>
          <w:rFonts w:ascii="Times New Roman" w:hAnsi="Times New Roman" w:cs="Times New Roman"/>
          <w:color w:val="000000"/>
          <w:sz w:val="24"/>
          <w:szCs w:val="24"/>
        </w:rPr>
        <w:t>port the draft recommendations</w:t>
      </w:r>
      <w:r w:rsidR="00A6564C" w:rsidRPr="00C662FE">
        <w:rPr>
          <w:rFonts w:ascii="Times New Roman" w:hAnsi="Times New Roman" w:cs="Times New Roman"/>
          <w:color w:val="000000"/>
          <w:sz w:val="24"/>
          <w:szCs w:val="24"/>
        </w:rPr>
        <w:t xml:space="preserve"> </w:t>
      </w:r>
      <w:r w:rsidR="00655F7F" w:rsidRPr="00C662FE">
        <w:rPr>
          <w:rFonts w:ascii="Times New Roman" w:hAnsi="Times New Roman" w:cs="Times New Roman"/>
          <w:color w:val="000000"/>
          <w:sz w:val="24"/>
          <w:szCs w:val="24"/>
        </w:rPr>
        <w:t>and would like to comment on</w:t>
      </w:r>
      <w:r w:rsidR="00655F7F" w:rsidRPr="005267D8">
        <w:rPr>
          <w:rFonts w:ascii="Times New Roman" w:hAnsi="Times New Roman" w:cs="Times New Roman"/>
          <w:color w:val="000000"/>
          <w:sz w:val="24"/>
          <w:szCs w:val="24"/>
        </w:rPr>
        <w:t xml:space="preserve"> </w:t>
      </w:r>
      <w:r w:rsidR="00655F7F" w:rsidRPr="00C662FE">
        <w:rPr>
          <w:rFonts w:ascii="Times New Roman" w:hAnsi="Times New Roman" w:cs="Times New Roman"/>
          <w:color w:val="000000"/>
          <w:sz w:val="24"/>
          <w:szCs w:val="24"/>
        </w:rPr>
        <w:t>select</w:t>
      </w:r>
      <w:r w:rsidR="00982B85">
        <w:rPr>
          <w:rFonts w:ascii="Times New Roman" w:hAnsi="Times New Roman" w:cs="Times New Roman"/>
          <w:color w:val="000000"/>
          <w:sz w:val="24"/>
          <w:szCs w:val="24"/>
        </w:rPr>
        <w:t xml:space="preserve"> </w:t>
      </w:r>
      <w:r w:rsidR="00697A0B" w:rsidRPr="00982B85">
        <w:rPr>
          <w:rFonts w:ascii="Times New Roman" w:hAnsi="Times New Roman" w:cs="Times New Roman"/>
          <w:color w:val="000000"/>
          <w:sz w:val="24"/>
          <w:szCs w:val="24"/>
        </w:rPr>
        <w:t>topics</w:t>
      </w:r>
      <w:r w:rsidR="00655F7F" w:rsidRPr="00982B85">
        <w:rPr>
          <w:rFonts w:ascii="Times New Roman" w:hAnsi="Times New Roman" w:cs="Times New Roman"/>
          <w:color w:val="000000"/>
          <w:sz w:val="24"/>
          <w:szCs w:val="24"/>
        </w:rPr>
        <w:t>.</w:t>
      </w:r>
      <w:r w:rsidR="0036618A">
        <w:rPr>
          <w:rFonts w:ascii="Times New Roman" w:hAnsi="Times New Roman" w:cs="Times New Roman"/>
          <w:color w:val="000000"/>
          <w:sz w:val="24"/>
          <w:szCs w:val="24"/>
        </w:rPr>
        <w:t xml:space="preserve"> </w:t>
      </w:r>
    </w:p>
    <w:p w14:paraId="43769548" w14:textId="289D25CF" w:rsidR="00556B83" w:rsidRDefault="00DA7EAA" w:rsidP="00C662FE">
      <w:pPr>
        <w:spacing w:after="120" w:line="254" w:lineRule="auto"/>
        <w:jc w:val="both"/>
        <w:rPr>
          <w:rFonts w:ascii="Times New Roman" w:hAnsi="Times New Roman" w:cs="Times New Roman"/>
          <w:color w:val="000000"/>
          <w:sz w:val="24"/>
          <w:szCs w:val="24"/>
        </w:rPr>
      </w:pPr>
      <w:r w:rsidRPr="0036618A">
        <w:rPr>
          <w:rFonts w:ascii="Times New Roman" w:hAnsi="Times New Roman" w:cs="Times New Roman"/>
          <w:color w:val="000000"/>
          <w:sz w:val="24"/>
          <w:szCs w:val="24"/>
        </w:rPr>
        <w:t>The EU expresses its deep concern for the continued low rate of reporting</w:t>
      </w:r>
      <w:r>
        <w:rPr>
          <w:rFonts w:ascii="Times New Roman" w:hAnsi="Times New Roman" w:cs="Times New Roman"/>
          <w:color w:val="000000"/>
          <w:sz w:val="24"/>
          <w:szCs w:val="24"/>
        </w:rPr>
        <w:t xml:space="preserve">. </w:t>
      </w:r>
      <w:r w:rsidR="00103979" w:rsidRPr="00C662FE">
        <w:rPr>
          <w:rFonts w:ascii="Times New Roman" w:hAnsi="Times New Roman" w:cs="Times New Roman"/>
          <w:color w:val="000000"/>
          <w:sz w:val="24"/>
          <w:szCs w:val="24"/>
        </w:rPr>
        <w:t xml:space="preserve">We reiterate our view that effective reporting </w:t>
      </w:r>
      <w:r w:rsidR="00103979" w:rsidRPr="00982B85">
        <w:rPr>
          <w:rFonts w:ascii="Times New Roman" w:hAnsi="Times New Roman" w:cs="Times New Roman"/>
          <w:color w:val="000000"/>
          <w:sz w:val="24"/>
          <w:szCs w:val="24"/>
        </w:rPr>
        <w:t xml:space="preserve">could be </w:t>
      </w:r>
      <w:r w:rsidR="006447E2" w:rsidRPr="00982B85">
        <w:rPr>
          <w:rFonts w:ascii="Times New Roman" w:hAnsi="Times New Roman" w:cs="Times New Roman"/>
          <w:color w:val="000000"/>
          <w:sz w:val="24"/>
          <w:szCs w:val="24"/>
        </w:rPr>
        <w:t xml:space="preserve">enhanced </w:t>
      </w:r>
      <w:r w:rsidR="00103979" w:rsidRPr="00982B85">
        <w:rPr>
          <w:rFonts w:ascii="Times New Roman" w:hAnsi="Times New Roman" w:cs="Times New Roman"/>
          <w:color w:val="000000"/>
          <w:sz w:val="24"/>
          <w:szCs w:val="24"/>
        </w:rPr>
        <w:t xml:space="preserve">through </w:t>
      </w:r>
      <w:r w:rsidR="00103979" w:rsidRPr="00C662FE">
        <w:rPr>
          <w:rFonts w:ascii="Times New Roman" w:hAnsi="Times New Roman" w:cs="Times New Roman"/>
          <w:color w:val="000000"/>
          <w:sz w:val="24"/>
          <w:szCs w:val="24"/>
        </w:rPr>
        <w:t>technical assistance combined with political outreach, to address all possible identified national obstacles, and – potentially –</w:t>
      </w:r>
      <w:r w:rsidR="00270EF9" w:rsidRPr="00C662FE">
        <w:rPr>
          <w:rFonts w:ascii="Times New Roman" w:hAnsi="Times New Roman" w:cs="Times New Roman"/>
          <w:color w:val="000000"/>
          <w:sz w:val="24"/>
          <w:szCs w:val="24"/>
        </w:rPr>
        <w:t xml:space="preserve"> </w:t>
      </w:r>
      <w:r w:rsidR="00103979" w:rsidRPr="00C662FE">
        <w:rPr>
          <w:rFonts w:ascii="Times New Roman" w:hAnsi="Times New Roman" w:cs="Times New Roman"/>
          <w:color w:val="000000"/>
          <w:sz w:val="24"/>
          <w:szCs w:val="24"/>
        </w:rPr>
        <w:t>encourage simu</w:t>
      </w:r>
      <w:r w:rsidR="00270EF9" w:rsidRPr="00C662FE">
        <w:rPr>
          <w:rFonts w:ascii="Times New Roman" w:hAnsi="Times New Roman" w:cs="Times New Roman"/>
          <w:color w:val="000000"/>
          <w:sz w:val="24"/>
          <w:szCs w:val="24"/>
        </w:rPr>
        <w:t>ltaneous reporting by regional S</w:t>
      </w:r>
      <w:r w:rsidR="00103979" w:rsidRPr="00C662FE">
        <w:rPr>
          <w:rFonts w:ascii="Times New Roman" w:hAnsi="Times New Roman" w:cs="Times New Roman"/>
          <w:color w:val="000000"/>
          <w:sz w:val="24"/>
          <w:szCs w:val="24"/>
        </w:rPr>
        <w:t>tates as a confidence-bui</w:t>
      </w:r>
      <w:r w:rsidR="00270EF9" w:rsidRPr="00C662FE">
        <w:rPr>
          <w:rFonts w:ascii="Times New Roman" w:hAnsi="Times New Roman" w:cs="Times New Roman"/>
          <w:color w:val="000000"/>
          <w:sz w:val="24"/>
          <w:szCs w:val="24"/>
        </w:rPr>
        <w:t>l</w:t>
      </w:r>
      <w:r w:rsidR="00103979" w:rsidRPr="00C662FE">
        <w:rPr>
          <w:rFonts w:ascii="Times New Roman" w:hAnsi="Times New Roman" w:cs="Times New Roman"/>
          <w:color w:val="000000"/>
          <w:sz w:val="24"/>
          <w:szCs w:val="24"/>
        </w:rPr>
        <w:t xml:space="preserve">ding measure. </w:t>
      </w:r>
      <w:r w:rsidR="003A5C67">
        <w:rPr>
          <w:rFonts w:ascii="Times New Roman" w:hAnsi="Times New Roman" w:cs="Times New Roman"/>
          <w:color w:val="000000"/>
          <w:sz w:val="24"/>
          <w:szCs w:val="24"/>
        </w:rPr>
        <w:t xml:space="preserve">We believe that the sounding board may provide </w:t>
      </w:r>
      <w:r w:rsidR="006447E2" w:rsidRPr="00A44E58">
        <w:rPr>
          <w:rFonts w:ascii="Times New Roman" w:hAnsi="Times New Roman" w:cs="Times New Roman"/>
          <w:color w:val="000000"/>
          <w:sz w:val="24"/>
          <w:szCs w:val="24"/>
        </w:rPr>
        <w:t xml:space="preserve">an </w:t>
      </w:r>
      <w:r w:rsidR="003A5C67">
        <w:rPr>
          <w:rFonts w:ascii="Times New Roman" w:hAnsi="Times New Roman" w:cs="Times New Roman"/>
          <w:color w:val="000000"/>
          <w:sz w:val="24"/>
          <w:szCs w:val="24"/>
        </w:rPr>
        <w:t>environment for collecting necessary positions and offering solutions in an informal and confidential way. We recognize the central role and experience of t</w:t>
      </w:r>
      <w:r w:rsidR="00D63A06" w:rsidRPr="00C662FE">
        <w:rPr>
          <w:rFonts w:ascii="Times New Roman" w:hAnsi="Times New Roman" w:cs="Times New Roman"/>
          <w:color w:val="000000"/>
          <w:sz w:val="24"/>
          <w:szCs w:val="24"/>
        </w:rPr>
        <w:t>he ATT Secretariat</w:t>
      </w:r>
      <w:r w:rsidR="003A5C67">
        <w:rPr>
          <w:rFonts w:ascii="Times New Roman" w:hAnsi="Times New Roman" w:cs="Times New Roman"/>
          <w:color w:val="000000"/>
          <w:sz w:val="24"/>
          <w:szCs w:val="24"/>
        </w:rPr>
        <w:t xml:space="preserve">, and </w:t>
      </w:r>
      <w:r w:rsidR="00556B83">
        <w:rPr>
          <w:rFonts w:ascii="Times New Roman" w:hAnsi="Times New Roman" w:cs="Times New Roman"/>
          <w:color w:val="000000"/>
          <w:sz w:val="24"/>
          <w:szCs w:val="24"/>
        </w:rPr>
        <w:t>trust</w:t>
      </w:r>
      <w:r w:rsidR="003A5C67">
        <w:rPr>
          <w:rFonts w:ascii="Times New Roman" w:hAnsi="Times New Roman" w:cs="Times New Roman"/>
          <w:color w:val="000000"/>
          <w:sz w:val="24"/>
          <w:szCs w:val="24"/>
        </w:rPr>
        <w:t xml:space="preserve"> it enjoys among </w:t>
      </w:r>
      <w:r w:rsidR="00D63A06" w:rsidRPr="00C662FE">
        <w:rPr>
          <w:rFonts w:ascii="Times New Roman" w:hAnsi="Times New Roman" w:cs="Times New Roman"/>
          <w:color w:val="000000"/>
          <w:sz w:val="24"/>
          <w:szCs w:val="24"/>
        </w:rPr>
        <w:t>States Parties in reporting</w:t>
      </w:r>
      <w:r w:rsidR="00556B83">
        <w:rPr>
          <w:rFonts w:ascii="Times New Roman" w:hAnsi="Times New Roman" w:cs="Times New Roman"/>
          <w:color w:val="000000"/>
          <w:sz w:val="24"/>
          <w:szCs w:val="24"/>
        </w:rPr>
        <w:t xml:space="preserve">. </w:t>
      </w:r>
    </w:p>
    <w:p w14:paraId="6D3C4C41" w14:textId="67B9BFC1" w:rsidR="00556B83" w:rsidRDefault="001343F1" w:rsidP="00C662FE">
      <w:pPr>
        <w:spacing w:after="120" w:line="254" w:lineRule="auto"/>
        <w:jc w:val="both"/>
        <w:rPr>
          <w:rFonts w:ascii="Times New Roman" w:hAnsi="Times New Roman" w:cs="Times New Roman"/>
          <w:color w:val="000000"/>
          <w:sz w:val="24"/>
          <w:szCs w:val="24"/>
        </w:rPr>
      </w:pPr>
      <w:r w:rsidRPr="00DA1374">
        <w:rPr>
          <w:rFonts w:ascii="Times New Roman" w:hAnsi="Times New Roman" w:cs="Times New Roman"/>
          <w:sz w:val="24"/>
          <w:szCs w:val="24"/>
        </w:rPr>
        <w:t>W</w:t>
      </w:r>
      <w:r w:rsidR="00556B83" w:rsidRPr="00DA1374">
        <w:rPr>
          <w:rFonts w:ascii="Times New Roman" w:hAnsi="Times New Roman" w:cs="Times New Roman"/>
          <w:sz w:val="24"/>
          <w:szCs w:val="24"/>
        </w:rPr>
        <w:t xml:space="preserve">e </w:t>
      </w:r>
      <w:r w:rsidR="001250AE" w:rsidRPr="00DA1374">
        <w:rPr>
          <w:rFonts w:ascii="Times New Roman" w:hAnsi="Times New Roman" w:cs="Times New Roman"/>
          <w:sz w:val="24"/>
          <w:szCs w:val="24"/>
        </w:rPr>
        <w:t xml:space="preserve">also </w:t>
      </w:r>
      <w:r w:rsidR="00556B83" w:rsidRPr="00DA1374">
        <w:rPr>
          <w:rFonts w:ascii="Times New Roman" w:hAnsi="Times New Roman" w:cs="Times New Roman"/>
          <w:sz w:val="24"/>
          <w:szCs w:val="24"/>
        </w:rPr>
        <w:t xml:space="preserve">appreciate the efforts of the Secretariat to convene regional, sub-regional, and bilateral meetings to facilitate the exchange of information on diversion. We encourage all interested </w:t>
      </w:r>
      <w:r w:rsidR="00275047" w:rsidRPr="00DA1374">
        <w:rPr>
          <w:rFonts w:ascii="Times New Roman" w:hAnsi="Times New Roman" w:cs="Times New Roman"/>
          <w:sz w:val="24"/>
          <w:szCs w:val="24"/>
        </w:rPr>
        <w:t>S</w:t>
      </w:r>
      <w:r w:rsidR="00556B83" w:rsidRPr="00DA1374">
        <w:rPr>
          <w:rFonts w:ascii="Times New Roman" w:hAnsi="Times New Roman" w:cs="Times New Roman"/>
          <w:sz w:val="24"/>
          <w:szCs w:val="24"/>
        </w:rPr>
        <w:t xml:space="preserve">tates to engage with the Secretariat on this issue, and are pleased to inform that this task has </w:t>
      </w:r>
      <w:r w:rsidR="00556B83" w:rsidRPr="00DA1374">
        <w:rPr>
          <w:rFonts w:ascii="Times New Roman" w:hAnsi="Times New Roman" w:cs="Times New Roman"/>
          <w:sz w:val="24"/>
          <w:szCs w:val="24"/>
        </w:rPr>
        <w:lastRenderedPageBreak/>
        <w:t xml:space="preserve">been recognized as one of </w:t>
      </w:r>
      <w:r w:rsidR="001250AE" w:rsidRPr="00DA1374">
        <w:rPr>
          <w:rFonts w:ascii="Times New Roman" w:hAnsi="Times New Roman" w:cs="Times New Roman"/>
          <w:sz w:val="24"/>
          <w:szCs w:val="24"/>
        </w:rPr>
        <w:t xml:space="preserve">the </w:t>
      </w:r>
      <w:r w:rsidR="00556B83" w:rsidRPr="00DA1374">
        <w:rPr>
          <w:rFonts w:ascii="Times New Roman" w:hAnsi="Times New Roman" w:cs="Times New Roman"/>
          <w:sz w:val="24"/>
          <w:szCs w:val="24"/>
        </w:rPr>
        <w:t>key work</w:t>
      </w:r>
      <w:r w:rsidR="006B388D" w:rsidRPr="00DA1374">
        <w:rPr>
          <w:rFonts w:ascii="Times New Roman" w:hAnsi="Times New Roman" w:cs="Times New Roman"/>
          <w:sz w:val="24"/>
          <w:szCs w:val="24"/>
        </w:rPr>
        <w:t>-</w:t>
      </w:r>
      <w:r w:rsidR="00556B83" w:rsidRPr="00DA1374">
        <w:rPr>
          <w:rFonts w:ascii="Times New Roman" w:hAnsi="Times New Roman" w:cs="Times New Roman"/>
          <w:sz w:val="24"/>
          <w:szCs w:val="24"/>
        </w:rPr>
        <w:t>streams of the EU</w:t>
      </w:r>
      <w:r w:rsidR="006B388D" w:rsidRPr="00DA1374">
        <w:rPr>
          <w:rFonts w:ascii="Times New Roman" w:hAnsi="Times New Roman" w:cs="Times New Roman"/>
          <w:sz w:val="24"/>
          <w:szCs w:val="24"/>
        </w:rPr>
        <w:t>’s ongoing</w:t>
      </w:r>
      <w:r w:rsidR="00556B83" w:rsidRPr="00DA1374">
        <w:rPr>
          <w:rFonts w:ascii="Times New Roman" w:hAnsi="Times New Roman" w:cs="Times New Roman"/>
          <w:sz w:val="24"/>
          <w:szCs w:val="24"/>
        </w:rPr>
        <w:t xml:space="preserve"> support to the Secretariat for </w:t>
      </w:r>
      <w:r w:rsidR="00065767" w:rsidRPr="00DA1374">
        <w:rPr>
          <w:rFonts w:ascii="Times New Roman" w:hAnsi="Times New Roman" w:cs="Times New Roman"/>
          <w:sz w:val="24"/>
          <w:szCs w:val="24"/>
        </w:rPr>
        <w:t>the period</w:t>
      </w:r>
      <w:r w:rsidR="00556B83" w:rsidRPr="00DA1374">
        <w:rPr>
          <w:rFonts w:ascii="Times New Roman" w:hAnsi="Times New Roman" w:cs="Times New Roman"/>
          <w:sz w:val="24"/>
          <w:szCs w:val="24"/>
        </w:rPr>
        <w:t xml:space="preserve"> 2025-2027. </w:t>
      </w:r>
    </w:p>
    <w:p w14:paraId="14B932DE" w14:textId="29DFCA75" w:rsidR="00A65B75" w:rsidRDefault="00065767" w:rsidP="0036618A">
      <w:pPr>
        <w:spacing w:after="120" w:line="25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Let me conclude by expressing the EU’s support to all recommendations proposed in the WGTR Chair’s report.</w:t>
      </w:r>
    </w:p>
    <w:p w14:paraId="26E15C6F" w14:textId="77777777" w:rsidR="000964BC" w:rsidRDefault="000964BC" w:rsidP="00C60706">
      <w:pPr>
        <w:spacing w:before="160"/>
        <w:jc w:val="both"/>
        <w:rPr>
          <w:rFonts w:ascii="Times New Roman" w:hAnsi="Times New Roman" w:cs="Times New Roman"/>
          <w:b/>
          <w:sz w:val="24"/>
          <w:szCs w:val="24"/>
        </w:rPr>
      </w:pPr>
    </w:p>
    <w:p w14:paraId="43918159" w14:textId="7758DB48" w:rsidR="006562D1" w:rsidRPr="00DA1374" w:rsidRDefault="006562D1" w:rsidP="00C60706">
      <w:pPr>
        <w:spacing w:before="160"/>
        <w:jc w:val="both"/>
        <w:rPr>
          <w:rFonts w:ascii="Times New Roman" w:hAnsi="Times New Roman" w:cs="Times New Roman"/>
          <w:bCs/>
          <w:sz w:val="24"/>
          <w:szCs w:val="24"/>
        </w:rPr>
      </w:pPr>
      <w:r w:rsidRPr="003B5C57">
        <w:rPr>
          <w:rFonts w:ascii="Times New Roman" w:hAnsi="Times New Roman" w:cs="Times New Roman"/>
          <w:b/>
          <w:sz w:val="24"/>
          <w:szCs w:val="24"/>
        </w:rPr>
        <w:t>2c. Working Group on Treaty Universalization (WGTU)</w:t>
      </w:r>
    </w:p>
    <w:p w14:paraId="645C6F5C" w14:textId="2AB482EC" w:rsidR="00B43849" w:rsidRDefault="002B62C6" w:rsidP="00401F4C">
      <w:pPr>
        <w:spacing w:after="120" w:line="254" w:lineRule="auto"/>
        <w:jc w:val="both"/>
        <w:rPr>
          <w:rFonts w:ascii="Times New Roman" w:hAnsi="Times New Roman" w:cs="Times New Roman"/>
          <w:sz w:val="24"/>
          <w:szCs w:val="24"/>
        </w:rPr>
      </w:pPr>
      <w:r w:rsidRPr="00DA1374">
        <w:rPr>
          <w:rFonts w:ascii="Times New Roman" w:hAnsi="Times New Roman" w:cs="Times New Roman"/>
          <w:bCs/>
          <w:sz w:val="24"/>
          <w:szCs w:val="24"/>
        </w:rPr>
        <w:t xml:space="preserve">The EU would like to express appreciation to </w:t>
      </w:r>
      <w:r w:rsidR="00EC7ED1" w:rsidRPr="00DA1374">
        <w:rPr>
          <w:rFonts w:ascii="Times New Roman" w:hAnsi="Times New Roman" w:cs="Times New Roman"/>
          <w:bCs/>
          <w:sz w:val="24"/>
          <w:szCs w:val="24"/>
        </w:rPr>
        <w:t xml:space="preserve">the </w:t>
      </w:r>
      <w:r w:rsidR="00347386" w:rsidRPr="00DA1374">
        <w:rPr>
          <w:rFonts w:ascii="Times New Roman" w:hAnsi="Times New Roman" w:cs="Times New Roman"/>
          <w:bCs/>
          <w:sz w:val="24"/>
          <w:szCs w:val="24"/>
        </w:rPr>
        <w:t>Co-Chairs of</w:t>
      </w:r>
      <w:r w:rsidR="00CC5985" w:rsidRPr="00DA1374">
        <w:rPr>
          <w:rFonts w:ascii="Times New Roman" w:hAnsi="Times New Roman" w:cs="Times New Roman"/>
          <w:bCs/>
          <w:sz w:val="24"/>
          <w:szCs w:val="24"/>
        </w:rPr>
        <w:t xml:space="preserve"> the Group, and for the</w:t>
      </w:r>
      <w:r w:rsidRPr="00DA1374">
        <w:rPr>
          <w:rFonts w:ascii="Times New Roman" w:hAnsi="Times New Roman" w:cs="Times New Roman"/>
          <w:bCs/>
          <w:sz w:val="24"/>
          <w:szCs w:val="24"/>
        </w:rPr>
        <w:t xml:space="preserve"> individual </w:t>
      </w:r>
      <w:r w:rsidR="00CC5985" w:rsidRPr="00DA1374">
        <w:rPr>
          <w:rFonts w:ascii="Times New Roman" w:hAnsi="Times New Roman" w:cs="Times New Roman"/>
          <w:bCs/>
          <w:sz w:val="24"/>
          <w:szCs w:val="24"/>
        </w:rPr>
        <w:t xml:space="preserve">outreach </w:t>
      </w:r>
      <w:r w:rsidRPr="00DA1374">
        <w:rPr>
          <w:rFonts w:ascii="Times New Roman" w:hAnsi="Times New Roman" w:cs="Times New Roman"/>
          <w:bCs/>
          <w:sz w:val="24"/>
          <w:szCs w:val="24"/>
        </w:rPr>
        <w:t>effo</w:t>
      </w:r>
      <w:r w:rsidR="005F3EF1" w:rsidRPr="00DA1374">
        <w:rPr>
          <w:rFonts w:ascii="Times New Roman" w:hAnsi="Times New Roman" w:cs="Times New Roman"/>
          <w:bCs/>
          <w:sz w:val="24"/>
          <w:szCs w:val="24"/>
        </w:rPr>
        <w:t>rts</w:t>
      </w:r>
      <w:r w:rsidR="00CC5985" w:rsidRPr="00DA1374">
        <w:rPr>
          <w:rFonts w:ascii="Times New Roman" w:hAnsi="Times New Roman" w:cs="Times New Roman"/>
          <w:bCs/>
          <w:sz w:val="24"/>
          <w:szCs w:val="24"/>
        </w:rPr>
        <w:t xml:space="preserve"> </w:t>
      </w:r>
      <w:r w:rsidR="00270EF9" w:rsidRPr="00DA1374">
        <w:rPr>
          <w:rFonts w:ascii="Times New Roman" w:hAnsi="Times New Roman" w:cs="Times New Roman"/>
          <w:bCs/>
          <w:sz w:val="24"/>
          <w:szCs w:val="24"/>
        </w:rPr>
        <w:t xml:space="preserve">carried out </w:t>
      </w:r>
      <w:r w:rsidR="00CC5985" w:rsidRPr="00DA1374">
        <w:rPr>
          <w:rFonts w:ascii="Times New Roman" w:hAnsi="Times New Roman" w:cs="Times New Roman"/>
          <w:bCs/>
          <w:sz w:val="24"/>
          <w:szCs w:val="24"/>
        </w:rPr>
        <w:t xml:space="preserve">by </w:t>
      </w:r>
      <w:r w:rsidR="00347386" w:rsidRPr="00DA1374">
        <w:rPr>
          <w:rFonts w:ascii="Times New Roman" w:hAnsi="Times New Roman" w:cs="Times New Roman"/>
          <w:bCs/>
          <w:sz w:val="24"/>
          <w:szCs w:val="24"/>
        </w:rPr>
        <w:t xml:space="preserve">both </w:t>
      </w:r>
      <w:r w:rsidR="006B388D" w:rsidRPr="00DA1374">
        <w:rPr>
          <w:rFonts w:ascii="Times New Roman" w:hAnsi="Times New Roman" w:cs="Times New Roman"/>
          <w:bCs/>
          <w:sz w:val="24"/>
          <w:szCs w:val="24"/>
        </w:rPr>
        <w:t>the</w:t>
      </w:r>
      <w:r w:rsidR="006B388D" w:rsidRPr="00DA1374">
        <w:rPr>
          <w:rFonts w:ascii="Times New Roman" w:hAnsi="Times New Roman" w:cs="Times New Roman"/>
          <w:b/>
          <w:bCs/>
          <w:sz w:val="24"/>
          <w:szCs w:val="24"/>
        </w:rPr>
        <w:t xml:space="preserve"> </w:t>
      </w:r>
      <w:r w:rsidR="00347386">
        <w:rPr>
          <w:rFonts w:ascii="Times New Roman" w:hAnsi="Times New Roman" w:cs="Times New Roman"/>
          <w:sz w:val="24"/>
          <w:szCs w:val="24"/>
        </w:rPr>
        <w:t xml:space="preserve">CSP11 and </w:t>
      </w:r>
      <w:r w:rsidR="00CC5985" w:rsidRPr="00C662FE">
        <w:rPr>
          <w:rFonts w:ascii="Times New Roman" w:hAnsi="Times New Roman" w:cs="Times New Roman"/>
          <w:sz w:val="24"/>
          <w:szCs w:val="24"/>
        </w:rPr>
        <w:t>CSP1</w:t>
      </w:r>
      <w:r w:rsidR="00401F4C">
        <w:rPr>
          <w:rFonts w:ascii="Times New Roman" w:hAnsi="Times New Roman" w:cs="Times New Roman"/>
          <w:sz w:val="24"/>
          <w:szCs w:val="24"/>
        </w:rPr>
        <w:t>2</w:t>
      </w:r>
      <w:r w:rsidR="00CC5985" w:rsidRPr="00C662FE">
        <w:rPr>
          <w:rFonts w:ascii="Times New Roman" w:hAnsi="Times New Roman" w:cs="Times New Roman"/>
          <w:sz w:val="24"/>
          <w:szCs w:val="24"/>
        </w:rPr>
        <w:t xml:space="preserve"> President</w:t>
      </w:r>
      <w:r w:rsidR="000F18E1" w:rsidRPr="00C662FE">
        <w:rPr>
          <w:rFonts w:ascii="Times New Roman" w:hAnsi="Times New Roman" w:cs="Times New Roman"/>
          <w:sz w:val="24"/>
          <w:szCs w:val="24"/>
        </w:rPr>
        <w:t>.</w:t>
      </w:r>
      <w:r w:rsidR="00B43849">
        <w:rPr>
          <w:rFonts w:ascii="Times New Roman" w:hAnsi="Times New Roman" w:cs="Times New Roman"/>
          <w:sz w:val="24"/>
          <w:szCs w:val="24"/>
        </w:rPr>
        <w:t xml:space="preserve"> </w:t>
      </w:r>
    </w:p>
    <w:p w14:paraId="3BEB7D7A" w14:textId="32B74C00" w:rsidR="00347386" w:rsidRDefault="00B43849" w:rsidP="00401F4C">
      <w:pPr>
        <w:spacing w:after="120" w:line="254" w:lineRule="auto"/>
        <w:jc w:val="both"/>
        <w:rPr>
          <w:rFonts w:ascii="Times New Roman" w:hAnsi="Times New Roman" w:cs="Times New Roman"/>
          <w:sz w:val="24"/>
          <w:szCs w:val="24"/>
        </w:rPr>
      </w:pPr>
      <w:r w:rsidRPr="00B43849">
        <w:rPr>
          <w:rFonts w:ascii="Times New Roman" w:hAnsi="Times New Roman" w:cs="Times New Roman"/>
          <w:sz w:val="24"/>
          <w:szCs w:val="24"/>
        </w:rPr>
        <w:t xml:space="preserve">The EU </w:t>
      </w:r>
      <w:r w:rsidR="00347386">
        <w:rPr>
          <w:rFonts w:ascii="Times New Roman" w:hAnsi="Times New Roman" w:cs="Times New Roman"/>
          <w:sz w:val="24"/>
          <w:szCs w:val="24"/>
        </w:rPr>
        <w:t xml:space="preserve">fully supports the observation in the Chair’s report that universalization should be understood as a process to achieve high-quality sustainable engagement, as opposed to membership without capacities to implement the Treaty. </w:t>
      </w:r>
      <w:r w:rsidR="00705A03">
        <w:rPr>
          <w:rFonts w:ascii="Times New Roman" w:hAnsi="Times New Roman" w:cs="Times New Roman"/>
          <w:sz w:val="24"/>
          <w:szCs w:val="24"/>
        </w:rPr>
        <w:t xml:space="preserve">The Treaty should be perceived as a community of capable </w:t>
      </w:r>
      <w:r w:rsidR="005267D8">
        <w:rPr>
          <w:rFonts w:ascii="Times New Roman" w:hAnsi="Times New Roman" w:cs="Times New Roman"/>
          <w:sz w:val="24"/>
          <w:szCs w:val="24"/>
        </w:rPr>
        <w:t>S</w:t>
      </w:r>
      <w:r w:rsidR="00705A03">
        <w:rPr>
          <w:rFonts w:ascii="Times New Roman" w:hAnsi="Times New Roman" w:cs="Times New Roman"/>
          <w:sz w:val="24"/>
          <w:szCs w:val="24"/>
        </w:rPr>
        <w:t>tates delivering on its objectives, but also as a community supporting its members in developing necessary capacities. The EU adopted such</w:t>
      </w:r>
      <w:r w:rsidR="00705A03" w:rsidRPr="00A44E58">
        <w:rPr>
          <w:rFonts w:ascii="Times New Roman" w:hAnsi="Times New Roman" w:cs="Times New Roman"/>
          <w:sz w:val="24"/>
          <w:szCs w:val="24"/>
        </w:rPr>
        <w:t xml:space="preserve"> </w:t>
      </w:r>
      <w:r w:rsidR="006447E2" w:rsidRPr="00A44E58">
        <w:rPr>
          <w:rFonts w:ascii="Times New Roman" w:hAnsi="Times New Roman" w:cs="Times New Roman"/>
          <w:sz w:val="24"/>
          <w:szCs w:val="24"/>
        </w:rPr>
        <w:t>an</w:t>
      </w:r>
      <w:r w:rsidR="006447E2">
        <w:rPr>
          <w:rFonts w:ascii="Times New Roman" w:hAnsi="Times New Roman" w:cs="Times New Roman"/>
          <w:b/>
          <w:bCs/>
          <w:sz w:val="24"/>
          <w:szCs w:val="24"/>
        </w:rPr>
        <w:t xml:space="preserve"> </w:t>
      </w:r>
      <w:r w:rsidR="00705A03">
        <w:rPr>
          <w:rFonts w:ascii="Times New Roman" w:hAnsi="Times New Roman" w:cs="Times New Roman"/>
          <w:sz w:val="24"/>
          <w:szCs w:val="24"/>
        </w:rPr>
        <w:t xml:space="preserve">approach in its ATT Outreach Project with 22 partners among States Parties and </w:t>
      </w:r>
      <w:r w:rsidR="005267D8">
        <w:rPr>
          <w:rFonts w:ascii="Times New Roman" w:hAnsi="Times New Roman" w:cs="Times New Roman"/>
          <w:sz w:val="24"/>
          <w:szCs w:val="24"/>
        </w:rPr>
        <w:t>S</w:t>
      </w:r>
      <w:r w:rsidR="00705A03">
        <w:rPr>
          <w:rFonts w:ascii="Times New Roman" w:hAnsi="Times New Roman" w:cs="Times New Roman"/>
          <w:sz w:val="24"/>
          <w:szCs w:val="24"/>
        </w:rPr>
        <w:t>tates that have not yet joined the Treaty.</w:t>
      </w:r>
    </w:p>
    <w:p w14:paraId="614DCC27" w14:textId="6622433A" w:rsidR="00646D13" w:rsidRDefault="00646D13" w:rsidP="00401F4C">
      <w:pPr>
        <w:spacing w:after="120" w:line="254" w:lineRule="auto"/>
        <w:jc w:val="both"/>
        <w:rPr>
          <w:rFonts w:ascii="Times New Roman" w:hAnsi="Times New Roman" w:cs="Times New Roman"/>
          <w:sz w:val="24"/>
          <w:szCs w:val="24"/>
        </w:rPr>
      </w:pPr>
      <w:r>
        <w:rPr>
          <w:rFonts w:ascii="Times New Roman" w:hAnsi="Times New Roman" w:cs="Times New Roman"/>
          <w:sz w:val="24"/>
          <w:szCs w:val="24"/>
        </w:rPr>
        <w:t>We acknowledge the challenges facing the work regarding regional universalization champions and call for exploring flexible solutions and incentives mentioned in the report to facilitate the establishment of relationship</w:t>
      </w:r>
      <w:r w:rsidR="006447E2" w:rsidRPr="004E698A">
        <w:rPr>
          <w:rFonts w:ascii="Times New Roman" w:hAnsi="Times New Roman" w:cs="Times New Roman"/>
          <w:sz w:val="24"/>
          <w:szCs w:val="24"/>
        </w:rPr>
        <w:t>s</w:t>
      </w:r>
      <w:r>
        <w:rPr>
          <w:rFonts w:ascii="Times New Roman" w:hAnsi="Times New Roman" w:cs="Times New Roman"/>
          <w:sz w:val="24"/>
          <w:szCs w:val="24"/>
        </w:rPr>
        <w:t xml:space="preserve"> between champions and interested non-States Parties, provided that they show </w:t>
      </w:r>
      <w:r w:rsidR="006B388D" w:rsidRPr="004E698A">
        <w:rPr>
          <w:rFonts w:ascii="Times New Roman" w:hAnsi="Times New Roman" w:cs="Times New Roman"/>
          <w:sz w:val="24"/>
          <w:szCs w:val="24"/>
        </w:rPr>
        <w:t xml:space="preserve">a </w:t>
      </w:r>
      <w:r w:rsidRPr="004E698A">
        <w:rPr>
          <w:rFonts w:ascii="Times New Roman" w:hAnsi="Times New Roman" w:cs="Times New Roman"/>
          <w:sz w:val="24"/>
          <w:szCs w:val="24"/>
        </w:rPr>
        <w:t>clear an</w:t>
      </w:r>
      <w:r w:rsidR="006B388D" w:rsidRPr="004E698A">
        <w:rPr>
          <w:rFonts w:ascii="Times New Roman" w:hAnsi="Times New Roman" w:cs="Times New Roman"/>
          <w:sz w:val="24"/>
          <w:szCs w:val="24"/>
        </w:rPr>
        <w:t>d</w:t>
      </w:r>
      <w:r w:rsidRPr="004E698A">
        <w:rPr>
          <w:rFonts w:ascii="Times New Roman" w:hAnsi="Times New Roman" w:cs="Times New Roman"/>
          <w:sz w:val="24"/>
          <w:szCs w:val="24"/>
        </w:rPr>
        <w:t xml:space="preserve"> </w:t>
      </w:r>
      <w:r>
        <w:rPr>
          <w:rFonts w:ascii="Times New Roman" w:hAnsi="Times New Roman" w:cs="Times New Roman"/>
          <w:sz w:val="24"/>
          <w:szCs w:val="24"/>
        </w:rPr>
        <w:t>unambiguous commitment to join the Treaty.</w:t>
      </w:r>
    </w:p>
    <w:p w14:paraId="78722443" w14:textId="5973E881" w:rsidR="00646D13" w:rsidRDefault="00646D13" w:rsidP="00401F4C">
      <w:pPr>
        <w:spacing w:after="120" w:line="254" w:lineRule="auto"/>
        <w:jc w:val="both"/>
        <w:rPr>
          <w:rFonts w:ascii="Times New Roman" w:hAnsi="Times New Roman" w:cs="Times New Roman"/>
          <w:sz w:val="24"/>
          <w:szCs w:val="24"/>
        </w:rPr>
      </w:pPr>
      <w:r>
        <w:rPr>
          <w:rFonts w:ascii="Times New Roman" w:hAnsi="Times New Roman" w:cs="Times New Roman"/>
          <w:sz w:val="24"/>
          <w:szCs w:val="24"/>
        </w:rPr>
        <w:t>Let me conclude by expressing full support of the EU to the proposed recommendations in the report.</w:t>
      </w:r>
    </w:p>
    <w:p w14:paraId="20F69B4D" w14:textId="77777777" w:rsidR="00347386" w:rsidRDefault="00347386" w:rsidP="00401F4C">
      <w:pPr>
        <w:spacing w:after="120" w:line="254" w:lineRule="auto"/>
        <w:jc w:val="both"/>
        <w:rPr>
          <w:rFonts w:ascii="Times New Roman" w:hAnsi="Times New Roman" w:cs="Times New Roman"/>
          <w:sz w:val="24"/>
          <w:szCs w:val="24"/>
        </w:rPr>
      </w:pPr>
    </w:p>
    <w:p w14:paraId="0E9B41A6" w14:textId="3D625154" w:rsidR="00646D13" w:rsidRDefault="00646D13" w:rsidP="00401F4C">
      <w:pPr>
        <w:spacing w:after="120" w:line="254" w:lineRule="auto"/>
        <w:jc w:val="both"/>
        <w:rPr>
          <w:rFonts w:ascii="Times New Roman" w:hAnsi="Times New Roman" w:cs="Times New Roman"/>
          <w:sz w:val="24"/>
          <w:szCs w:val="24"/>
        </w:rPr>
      </w:pPr>
      <w:r w:rsidRPr="007442B6">
        <w:rPr>
          <w:rFonts w:ascii="Times New Roman" w:hAnsi="Times New Roman" w:cs="Times New Roman"/>
          <w:b/>
          <w:bCs/>
          <w:sz w:val="24"/>
          <w:szCs w:val="24"/>
        </w:rPr>
        <w:t>2d. Voluntary Trust Fund (VTF)</w:t>
      </w:r>
    </w:p>
    <w:p w14:paraId="14DB1FFF" w14:textId="71D5E0A6" w:rsidR="00646D13" w:rsidRPr="00DA1374" w:rsidRDefault="008C76E9" w:rsidP="00FC7841">
      <w:pPr>
        <w:spacing w:after="120" w:line="254" w:lineRule="auto"/>
        <w:jc w:val="both"/>
        <w:rPr>
          <w:rFonts w:ascii="Times New Roman" w:hAnsi="Times New Roman" w:cs="Times New Roman"/>
          <w:sz w:val="24"/>
          <w:szCs w:val="24"/>
        </w:rPr>
      </w:pPr>
      <w:r w:rsidRPr="007442B6">
        <w:rPr>
          <w:rFonts w:ascii="Times New Roman" w:hAnsi="Times New Roman" w:cs="Times New Roman"/>
          <w:sz w:val="24"/>
          <w:szCs w:val="24"/>
        </w:rPr>
        <w:t xml:space="preserve">The EU wishes to express appreciation to the </w:t>
      </w:r>
      <w:r w:rsidR="00646D13" w:rsidRPr="007442B6">
        <w:rPr>
          <w:rFonts w:ascii="Times New Roman" w:hAnsi="Times New Roman" w:cs="Times New Roman"/>
          <w:sz w:val="24"/>
          <w:szCs w:val="24"/>
        </w:rPr>
        <w:t xml:space="preserve">Chair of </w:t>
      </w:r>
      <w:r w:rsidRPr="007442B6">
        <w:rPr>
          <w:rFonts w:ascii="Times New Roman" w:hAnsi="Times New Roman" w:cs="Times New Roman"/>
          <w:sz w:val="24"/>
          <w:szCs w:val="24"/>
        </w:rPr>
        <w:t xml:space="preserve">the </w:t>
      </w:r>
      <w:r w:rsidR="00646D13" w:rsidRPr="007442B6">
        <w:rPr>
          <w:rFonts w:ascii="Times New Roman" w:hAnsi="Times New Roman" w:cs="Times New Roman"/>
          <w:sz w:val="24"/>
          <w:szCs w:val="24"/>
        </w:rPr>
        <w:t>S</w:t>
      </w:r>
      <w:r w:rsidRPr="007442B6">
        <w:rPr>
          <w:rFonts w:ascii="Times New Roman" w:hAnsi="Times New Roman" w:cs="Times New Roman"/>
          <w:sz w:val="24"/>
          <w:szCs w:val="24"/>
        </w:rPr>
        <w:t xml:space="preserve">election </w:t>
      </w:r>
      <w:r w:rsidR="00646D13" w:rsidRPr="007442B6">
        <w:rPr>
          <w:rFonts w:ascii="Times New Roman" w:hAnsi="Times New Roman" w:cs="Times New Roman"/>
          <w:sz w:val="24"/>
          <w:szCs w:val="24"/>
        </w:rPr>
        <w:t>C</w:t>
      </w:r>
      <w:r w:rsidRPr="007442B6">
        <w:rPr>
          <w:rFonts w:ascii="Times New Roman" w:hAnsi="Times New Roman" w:cs="Times New Roman"/>
          <w:sz w:val="24"/>
          <w:szCs w:val="24"/>
        </w:rPr>
        <w:t xml:space="preserve">ommittee for presenting the proposals to amend the VTF Terms of Reference </w:t>
      </w:r>
      <w:r w:rsidR="00F456BF">
        <w:rPr>
          <w:rFonts w:ascii="Times New Roman" w:hAnsi="Times New Roman" w:cs="Times New Roman"/>
          <w:sz w:val="24"/>
          <w:szCs w:val="24"/>
        </w:rPr>
        <w:t xml:space="preserve">and </w:t>
      </w:r>
      <w:r w:rsidR="00646D13" w:rsidRPr="007442B6">
        <w:rPr>
          <w:rFonts w:ascii="Times New Roman" w:hAnsi="Times New Roman" w:cs="Times New Roman"/>
          <w:sz w:val="24"/>
          <w:szCs w:val="24"/>
        </w:rPr>
        <w:t>Administrative Rules</w:t>
      </w:r>
      <w:r w:rsidRPr="007442B6">
        <w:rPr>
          <w:rFonts w:ascii="Times New Roman" w:hAnsi="Times New Roman" w:cs="Times New Roman"/>
          <w:sz w:val="24"/>
          <w:szCs w:val="24"/>
        </w:rPr>
        <w:t xml:space="preserve">. We welcome the </w:t>
      </w:r>
      <w:r w:rsidRPr="00DA1374">
        <w:rPr>
          <w:rFonts w:ascii="Times New Roman" w:hAnsi="Times New Roman" w:cs="Times New Roman"/>
          <w:sz w:val="24"/>
          <w:szCs w:val="24"/>
        </w:rPr>
        <w:t xml:space="preserve">proposal </w:t>
      </w:r>
      <w:r w:rsidR="006B388D" w:rsidRPr="00DA1374">
        <w:rPr>
          <w:rFonts w:ascii="Times New Roman" w:hAnsi="Times New Roman" w:cs="Times New Roman"/>
          <w:sz w:val="24"/>
          <w:szCs w:val="24"/>
        </w:rPr>
        <w:t xml:space="preserve">for </w:t>
      </w:r>
      <w:r w:rsidRPr="00DA1374">
        <w:rPr>
          <w:rFonts w:ascii="Times New Roman" w:hAnsi="Times New Roman" w:cs="Times New Roman"/>
          <w:sz w:val="24"/>
          <w:szCs w:val="24"/>
        </w:rPr>
        <w:t xml:space="preserve">non-State Party applicant </w:t>
      </w:r>
      <w:r w:rsidR="005267D8" w:rsidRPr="00DA1374">
        <w:rPr>
          <w:rFonts w:ascii="Times New Roman" w:hAnsi="Times New Roman" w:cs="Times New Roman"/>
          <w:sz w:val="24"/>
          <w:szCs w:val="24"/>
        </w:rPr>
        <w:t>S</w:t>
      </w:r>
      <w:r w:rsidRPr="00DA1374">
        <w:rPr>
          <w:rFonts w:ascii="Times New Roman" w:hAnsi="Times New Roman" w:cs="Times New Roman"/>
          <w:sz w:val="24"/>
          <w:szCs w:val="24"/>
        </w:rPr>
        <w:t>tates to e</w:t>
      </w:r>
      <w:r w:rsidR="00646D13" w:rsidRPr="00DA1374">
        <w:rPr>
          <w:rFonts w:ascii="Times New Roman" w:hAnsi="Times New Roman" w:cs="Times New Roman"/>
          <w:sz w:val="24"/>
          <w:szCs w:val="24"/>
        </w:rPr>
        <w:t>xpress clear political commitment to join the Treaty and a plausible roadmap</w:t>
      </w:r>
      <w:r w:rsidRPr="00DA1374">
        <w:rPr>
          <w:rFonts w:ascii="Times New Roman" w:hAnsi="Times New Roman" w:cs="Times New Roman"/>
          <w:sz w:val="24"/>
          <w:szCs w:val="24"/>
        </w:rPr>
        <w:t xml:space="preserve">. This approach </w:t>
      </w:r>
      <w:r w:rsidR="00646D13" w:rsidRPr="00DA1374">
        <w:rPr>
          <w:rFonts w:ascii="Times New Roman" w:hAnsi="Times New Roman" w:cs="Times New Roman"/>
          <w:sz w:val="24"/>
          <w:szCs w:val="24"/>
        </w:rPr>
        <w:t xml:space="preserve">corresponds with the optics </w:t>
      </w:r>
      <w:r w:rsidR="00FC7841" w:rsidRPr="00DA1374">
        <w:rPr>
          <w:rFonts w:ascii="Times New Roman" w:hAnsi="Times New Roman" w:cs="Times New Roman"/>
          <w:sz w:val="24"/>
          <w:szCs w:val="24"/>
        </w:rPr>
        <w:t xml:space="preserve">regarding the universalization of the Treaty </w:t>
      </w:r>
      <w:r w:rsidR="00646D13" w:rsidRPr="00DA1374">
        <w:rPr>
          <w:rFonts w:ascii="Times New Roman" w:hAnsi="Times New Roman" w:cs="Times New Roman"/>
          <w:sz w:val="24"/>
          <w:szCs w:val="24"/>
        </w:rPr>
        <w:t xml:space="preserve">adopted by the EU in design of its own ATT Outreach Programme, covering </w:t>
      </w:r>
      <w:r w:rsidRPr="00DA1374">
        <w:rPr>
          <w:rFonts w:ascii="Times New Roman" w:hAnsi="Times New Roman" w:cs="Times New Roman"/>
          <w:sz w:val="24"/>
          <w:szCs w:val="24"/>
        </w:rPr>
        <w:t xml:space="preserve">not only </w:t>
      </w:r>
      <w:r w:rsidR="00FC7841" w:rsidRPr="00DA1374">
        <w:rPr>
          <w:rFonts w:ascii="Times New Roman" w:hAnsi="Times New Roman" w:cs="Times New Roman"/>
          <w:sz w:val="24"/>
          <w:szCs w:val="24"/>
        </w:rPr>
        <w:t xml:space="preserve">States Parties but </w:t>
      </w:r>
      <w:r w:rsidR="00646D13" w:rsidRPr="00DA1374">
        <w:rPr>
          <w:rFonts w:ascii="Times New Roman" w:hAnsi="Times New Roman" w:cs="Times New Roman"/>
          <w:sz w:val="24"/>
          <w:szCs w:val="24"/>
        </w:rPr>
        <w:t xml:space="preserve">also signatory </w:t>
      </w:r>
      <w:r w:rsidR="00275047" w:rsidRPr="00DA1374">
        <w:rPr>
          <w:rFonts w:ascii="Times New Roman" w:hAnsi="Times New Roman" w:cs="Times New Roman"/>
          <w:sz w:val="24"/>
          <w:szCs w:val="24"/>
        </w:rPr>
        <w:t>S</w:t>
      </w:r>
      <w:r w:rsidR="00646D13" w:rsidRPr="00DA1374">
        <w:rPr>
          <w:rFonts w:ascii="Times New Roman" w:hAnsi="Times New Roman" w:cs="Times New Roman"/>
          <w:sz w:val="24"/>
          <w:szCs w:val="24"/>
        </w:rPr>
        <w:t xml:space="preserve">tates and other </w:t>
      </w:r>
      <w:r w:rsidR="00275047" w:rsidRPr="00DA1374">
        <w:rPr>
          <w:rFonts w:ascii="Times New Roman" w:hAnsi="Times New Roman" w:cs="Times New Roman"/>
          <w:sz w:val="24"/>
          <w:szCs w:val="24"/>
        </w:rPr>
        <w:t>S</w:t>
      </w:r>
      <w:r w:rsidR="00646D13" w:rsidRPr="00DA1374">
        <w:rPr>
          <w:rFonts w:ascii="Times New Roman" w:hAnsi="Times New Roman" w:cs="Times New Roman"/>
          <w:sz w:val="24"/>
          <w:szCs w:val="24"/>
        </w:rPr>
        <w:t>tates.</w:t>
      </w:r>
    </w:p>
    <w:p w14:paraId="4AE2F8AA" w14:textId="21AA3589" w:rsidR="00FC7841" w:rsidRPr="00DA1374" w:rsidRDefault="00FC7841" w:rsidP="00646D13">
      <w:pPr>
        <w:spacing w:after="120" w:line="254" w:lineRule="auto"/>
        <w:jc w:val="both"/>
        <w:rPr>
          <w:rFonts w:ascii="Times New Roman" w:hAnsi="Times New Roman" w:cs="Times New Roman"/>
          <w:sz w:val="24"/>
          <w:szCs w:val="24"/>
        </w:rPr>
      </w:pPr>
      <w:r w:rsidRPr="00DA1374">
        <w:rPr>
          <w:rFonts w:ascii="Times New Roman" w:hAnsi="Times New Roman" w:cs="Times New Roman"/>
          <w:sz w:val="24"/>
          <w:szCs w:val="24"/>
        </w:rPr>
        <w:t xml:space="preserve">We encourage </w:t>
      </w:r>
      <w:r w:rsidR="006B388D" w:rsidRPr="00DA1374">
        <w:rPr>
          <w:rFonts w:ascii="Times New Roman" w:hAnsi="Times New Roman" w:cs="Times New Roman"/>
          <w:sz w:val="24"/>
          <w:szCs w:val="24"/>
        </w:rPr>
        <w:t xml:space="preserve">potential </w:t>
      </w:r>
      <w:r w:rsidR="00646D13" w:rsidRPr="00DA1374">
        <w:rPr>
          <w:rFonts w:ascii="Times New Roman" w:hAnsi="Times New Roman" w:cs="Times New Roman"/>
          <w:sz w:val="24"/>
          <w:szCs w:val="24"/>
        </w:rPr>
        <w:t xml:space="preserve">applicant </w:t>
      </w:r>
      <w:r w:rsidR="00275047" w:rsidRPr="00DA1374">
        <w:rPr>
          <w:rFonts w:ascii="Times New Roman" w:hAnsi="Times New Roman" w:cs="Times New Roman"/>
          <w:sz w:val="24"/>
          <w:szCs w:val="24"/>
        </w:rPr>
        <w:t>S</w:t>
      </w:r>
      <w:r w:rsidR="00646D13" w:rsidRPr="00DA1374">
        <w:rPr>
          <w:rFonts w:ascii="Times New Roman" w:hAnsi="Times New Roman" w:cs="Times New Roman"/>
          <w:sz w:val="24"/>
          <w:szCs w:val="24"/>
        </w:rPr>
        <w:t xml:space="preserve">tates and the Selection Committee to </w:t>
      </w:r>
      <w:r w:rsidRPr="00DA1374">
        <w:rPr>
          <w:rFonts w:ascii="Times New Roman" w:hAnsi="Times New Roman" w:cs="Times New Roman"/>
          <w:sz w:val="24"/>
          <w:szCs w:val="24"/>
        </w:rPr>
        <w:t xml:space="preserve">consider </w:t>
      </w:r>
      <w:r w:rsidR="004722EF" w:rsidRPr="00DA1374">
        <w:rPr>
          <w:rFonts w:ascii="Times New Roman" w:hAnsi="Times New Roman" w:cs="Times New Roman"/>
          <w:sz w:val="24"/>
          <w:szCs w:val="24"/>
        </w:rPr>
        <w:t xml:space="preserve">and support </w:t>
      </w:r>
      <w:r w:rsidR="00646D13" w:rsidRPr="00DA1374">
        <w:rPr>
          <w:rFonts w:ascii="Times New Roman" w:hAnsi="Times New Roman" w:cs="Times New Roman"/>
          <w:sz w:val="24"/>
          <w:szCs w:val="24"/>
        </w:rPr>
        <w:t xml:space="preserve">projects </w:t>
      </w:r>
      <w:r w:rsidRPr="00DA1374">
        <w:rPr>
          <w:rFonts w:ascii="Times New Roman" w:hAnsi="Times New Roman" w:cs="Times New Roman"/>
          <w:sz w:val="24"/>
          <w:szCs w:val="24"/>
        </w:rPr>
        <w:t xml:space="preserve">which envisage </w:t>
      </w:r>
      <w:r w:rsidR="00646D13" w:rsidRPr="00DA1374">
        <w:rPr>
          <w:rFonts w:ascii="Times New Roman" w:hAnsi="Times New Roman" w:cs="Times New Roman"/>
          <w:sz w:val="24"/>
          <w:szCs w:val="24"/>
        </w:rPr>
        <w:t>synerg</w:t>
      </w:r>
      <w:r w:rsidRPr="00DA1374">
        <w:rPr>
          <w:rFonts w:ascii="Times New Roman" w:hAnsi="Times New Roman" w:cs="Times New Roman"/>
          <w:sz w:val="24"/>
          <w:szCs w:val="24"/>
        </w:rPr>
        <w:t>ies</w:t>
      </w:r>
      <w:r w:rsidR="00646D13" w:rsidRPr="00DA1374">
        <w:rPr>
          <w:rFonts w:ascii="Times New Roman" w:hAnsi="Times New Roman" w:cs="Times New Roman"/>
          <w:sz w:val="24"/>
          <w:szCs w:val="24"/>
        </w:rPr>
        <w:t xml:space="preserve"> with other </w:t>
      </w:r>
      <w:r w:rsidR="004722EF" w:rsidRPr="00DA1374">
        <w:rPr>
          <w:rFonts w:ascii="Times New Roman" w:hAnsi="Times New Roman" w:cs="Times New Roman"/>
          <w:sz w:val="24"/>
          <w:szCs w:val="24"/>
        </w:rPr>
        <w:t xml:space="preserve">forms of </w:t>
      </w:r>
      <w:r w:rsidR="00646D13" w:rsidRPr="00DA1374">
        <w:rPr>
          <w:rFonts w:ascii="Times New Roman" w:hAnsi="Times New Roman" w:cs="Times New Roman"/>
          <w:sz w:val="24"/>
          <w:szCs w:val="24"/>
        </w:rPr>
        <w:t xml:space="preserve">support, including the EU </w:t>
      </w:r>
      <w:r w:rsidRPr="00DA1374">
        <w:rPr>
          <w:rFonts w:ascii="Times New Roman" w:hAnsi="Times New Roman" w:cs="Times New Roman"/>
          <w:sz w:val="24"/>
          <w:szCs w:val="24"/>
        </w:rPr>
        <w:t>ATT Ou</w:t>
      </w:r>
      <w:r w:rsidR="004722EF" w:rsidRPr="00DA1374">
        <w:rPr>
          <w:rFonts w:ascii="Times New Roman" w:hAnsi="Times New Roman" w:cs="Times New Roman"/>
          <w:sz w:val="24"/>
          <w:szCs w:val="24"/>
        </w:rPr>
        <w:t>t</w:t>
      </w:r>
      <w:r w:rsidRPr="00DA1374">
        <w:rPr>
          <w:rFonts w:ascii="Times New Roman" w:hAnsi="Times New Roman" w:cs="Times New Roman"/>
          <w:sz w:val="24"/>
          <w:szCs w:val="24"/>
        </w:rPr>
        <w:t>reach project implemented by BAFA of Germany and Expertise France</w:t>
      </w:r>
      <w:r w:rsidR="00646D13" w:rsidRPr="00DA1374">
        <w:rPr>
          <w:rFonts w:ascii="Times New Roman" w:hAnsi="Times New Roman" w:cs="Times New Roman"/>
          <w:sz w:val="24"/>
          <w:szCs w:val="24"/>
        </w:rPr>
        <w:t xml:space="preserve">, and </w:t>
      </w:r>
      <w:r w:rsidRPr="00DA1374">
        <w:rPr>
          <w:rFonts w:ascii="Times New Roman" w:hAnsi="Times New Roman" w:cs="Times New Roman"/>
          <w:sz w:val="24"/>
          <w:szCs w:val="24"/>
        </w:rPr>
        <w:t xml:space="preserve">with </w:t>
      </w:r>
      <w:r w:rsidR="00646D13" w:rsidRPr="00DA1374">
        <w:rPr>
          <w:rFonts w:ascii="Times New Roman" w:hAnsi="Times New Roman" w:cs="Times New Roman"/>
          <w:sz w:val="24"/>
          <w:szCs w:val="24"/>
        </w:rPr>
        <w:t xml:space="preserve">the EU-funded capacity building </w:t>
      </w:r>
      <w:r w:rsidR="006B388D" w:rsidRPr="00DA1374">
        <w:rPr>
          <w:rFonts w:ascii="Times New Roman" w:hAnsi="Times New Roman" w:cs="Times New Roman"/>
          <w:sz w:val="24"/>
          <w:szCs w:val="24"/>
        </w:rPr>
        <w:t xml:space="preserve">from </w:t>
      </w:r>
      <w:r w:rsidR="00646D13" w:rsidRPr="00DA1374">
        <w:rPr>
          <w:rFonts w:ascii="Times New Roman" w:hAnsi="Times New Roman" w:cs="Times New Roman"/>
          <w:sz w:val="24"/>
          <w:szCs w:val="24"/>
        </w:rPr>
        <w:t>the ATT Secretariat</w:t>
      </w:r>
      <w:r w:rsidRPr="00DA1374">
        <w:rPr>
          <w:rFonts w:ascii="Times New Roman" w:hAnsi="Times New Roman" w:cs="Times New Roman"/>
          <w:sz w:val="24"/>
          <w:szCs w:val="24"/>
        </w:rPr>
        <w:t xml:space="preserve">. In order to facilitate incorporation of synergies at the design stage, we encourage necessary transparency and information sharing among interested stakeholders. </w:t>
      </w:r>
    </w:p>
    <w:p w14:paraId="0FBEFC53" w14:textId="77777777" w:rsidR="00B236F8" w:rsidRPr="00281D25" w:rsidRDefault="00B236F8" w:rsidP="00D253CB">
      <w:pPr>
        <w:spacing w:after="120" w:line="254" w:lineRule="auto"/>
        <w:jc w:val="both"/>
        <w:rPr>
          <w:rFonts w:ascii="Times New Roman" w:hAnsi="Times New Roman" w:cs="Times New Roman"/>
          <w:sz w:val="24"/>
          <w:szCs w:val="24"/>
        </w:rPr>
      </w:pPr>
    </w:p>
    <w:sectPr w:rsidR="00B236F8" w:rsidRPr="00281D2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35E5" w14:textId="77777777" w:rsidR="002B35DA" w:rsidRDefault="002B35DA" w:rsidP="00D253CB">
      <w:pPr>
        <w:spacing w:after="0" w:line="240" w:lineRule="auto"/>
      </w:pPr>
      <w:r>
        <w:separator/>
      </w:r>
    </w:p>
  </w:endnote>
  <w:endnote w:type="continuationSeparator" w:id="0">
    <w:p w14:paraId="55F39BCB" w14:textId="77777777" w:rsidR="002B35DA" w:rsidRDefault="002B35DA" w:rsidP="00D2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984547"/>
      <w:docPartObj>
        <w:docPartGallery w:val="Page Numbers (Bottom of Page)"/>
        <w:docPartUnique/>
      </w:docPartObj>
    </w:sdtPr>
    <w:sdtEndPr>
      <w:rPr>
        <w:noProof/>
      </w:rPr>
    </w:sdtEndPr>
    <w:sdtContent>
      <w:p w14:paraId="45825F17" w14:textId="040D942B" w:rsidR="00D253CB" w:rsidRDefault="00D253CB">
        <w:pPr>
          <w:pStyle w:val="Footer"/>
          <w:jc w:val="right"/>
        </w:pPr>
        <w:r>
          <w:fldChar w:fldCharType="begin"/>
        </w:r>
        <w:r>
          <w:instrText xml:space="preserve"> PAGE   \* MERGEFORMAT </w:instrText>
        </w:r>
        <w:r>
          <w:fldChar w:fldCharType="separate"/>
        </w:r>
        <w:r w:rsidR="005A2D58">
          <w:rPr>
            <w:noProof/>
          </w:rPr>
          <w:t>3</w:t>
        </w:r>
        <w:r>
          <w:rPr>
            <w:noProof/>
          </w:rPr>
          <w:fldChar w:fldCharType="end"/>
        </w:r>
      </w:p>
    </w:sdtContent>
  </w:sdt>
  <w:p w14:paraId="3586BE69" w14:textId="77777777" w:rsidR="00D253CB" w:rsidRDefault="00D2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82C7" w14:textId="77777777" w:rsidR="002B35DA" w:rsidRDefault="002B35DA" w:rsidP="00D253CB">
      <w:pPr>
        <w:spacing w:after="0" w:line="240" w:lineRule="auto"/>
      </w:pPr>
      <w:r>
        <w:separator/>
      </w:r>
    </w:p>
  </w:footnote>
  <w:footnote w:type="continuationSeparator" w:id="0">
    <w:p w14:paraId="0A8B980B" w14:textId="77777777" w:rsidR="002B35DA" w:rsidRDefault="002B35DA" w:rsidP="00D253CB">
      <w:pPr>
        <w:spacing w:after="0" w:line="240" w:lineRule="auto"/>
      </w:pPr>
      <w:r>
        <w:continuationSeparator/>
      </w:r>
    </w:p>
  </w:footnote>
  <w:footnote w:id="1">
    <w:p w14:paraId="7BDCCE44" w14:textId="0EA2E6F7" w:rsidR="00F7629F" w:rsidRDefault="00F7629F">
      <w:pPr>
        <w:pStyle w:val="FootnoteText"/>
      </w:pPr>
      <w:r>
        <w:rPr>
          <w:rStyle w:val="FootnoteReference"/>
        </w:rPr>
        <w:footnoteRef/>
      </w:r>
      <w:r>
        <w:t xml:space="preserve"> North Macedonia, Montenegro, Serbia and Albania continue to be part of the Stabilisation and Association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3E4DE"/>
    <w:multiLevelType w:val="hybridMultilevel"/>
    <w:tmpl w:val="169AAD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4E10E4"/>
    <w:multiLevelType w:val="hybridMultilevel"/>
    <w:tmpl w:val="9E0991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3E89E1"/>
    <w:multiLevelType w:val="hybridMultilevel"/>
    <w:tmpl w:val="08DC56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6E8965"/>
    <w:multiLevelType w:val="hybridMultilevel"/>
    <w:tmpl w:val="4515EB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FA6F1B"/>
    <w:multiLevelType w:val="hybridMultilevel"/>
    <w:tmpl w:val="E50485C0"/>
    <w:lvl w:ilvl="0" w:tplc="8954C6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048C4"/>
    <w:multiLevelType w:val="hybridMultilevel"/>
    <w:tmpl w:val="5DB69E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03A380"/>
    <w:multiLevelType w:val="hybridMultilevel"/>
    <w:tmpl w:val="EB3BC7C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8C1013"/>
    <w:multiLevelType w:val="hybridMultilevel"/>
    <w:tmpl w:val="618EE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E102D"/>
    <w:multiLevelType w:val="hybridMultilevel"/>
    <w:tmpl w:val="285E73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9275318"/>
    <w:multiLevelType w:val="hybridMultilevel"/>
    <w:tmpl w:val="F13E771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B80D97"/>
    <w:multiLevelType w:val="hybridMultilevel"/>
    <w:tmpl w:val="61709202"/>
    <w:lvl w:ilvl="0" w:tplc="852A18BC">
      <w:numFmt w:val="bullet"/>
      <w:lvlText w:val=""/>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26230"/>
    <w:multiLevelType w:val="hybridMultilevel"/>
    <w:tmpl w:val="BA67BC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2A41D9E"/>
    <w:multiLevelType w:val="hybridMultilevel"/>
    <w:tmpl w:val="E1A87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A014E"/>
    <w:multiLevelType w:val="hybridMultilevel"/>
    <w:tmpl w:val="7287F4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3490717"/>
    <w:multiLevelType w:val="hybridMultilevel"/>
    <w:tmpl w:val="189C32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73841A4"/>
    <w:multiLevelType w:val="hybridMultilevel"/>
    <w:tmpl w:val="CB1A3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7621A"/>
    <w:multiLevelType w:val="hybridMultilevel"/>
    <w:tmpl w:val="315A923C"/>
    <w:lvl w:ilvl="0" w:tplc="EE34C522">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1EEB1"/>
    <w:multiLevelType w:val="hybridMultilevel"/>
    <w:tmpl w:val="8971C2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58C4100"/>
    <w:multiLevelType w:val="hybridMultilevel"/>
    <w:tmpl w:val="9F28472A"/>
    <w:lvl w:ilvl="0" w:tplc="509017D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61DA9"/>
    <w:multiLevelType w:val="hybridMultilevel"/>
    <w:tmpl w:val="4BC64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6136B7"/>
    <w:multiLevelType w:val="hybridMultilevel"/>
    <w:tmpl w:val="B038F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9981498">
    <w:abstractNumId w:val="0"/>
  </w:num>
  <w:num w:numId="2" w16cid:durableId="1636638563">
    <w:abstractNumId w:val="11"/>
  </w:num>
  <w:num w:numId="3" w16cid:durableId="1394158881">
    <w:abstractNumId w:val="3"/>
  </w:num>
  <w:num w:numId="4" w16cid:durableId="1626160270">
    <w:abstractNumId w:val="2"/>
  </w:num>
  <w:num w:numId="5" w16cid:durableId="1307778523">
    <w:abstractNumId w:val="16"/>
  </w:num>
  <w:num w:numId="6" w16cid:durableId="1587417090">
    <w:abstractNumId w:val="18"/>
  </w:num>
  <w:num w:numId="7" w16cid:durableId="549727120">
    <w:abstractNumId w:val="14"/>
  </w:num>
  <w:num w:numId="8" w16cid:durableId="862208741">
    <w:abstractNumId w:val="17"/>
  </w:num>
  <w:num w:numId="9" w16cid:durableId="1290547316">
    <w:abstractNumId w:val="13"/>
  </w:num>
  <w:num w:numId="10" w16cid:durableId="858275162">
    <w:abstractNumId w:val="1"/>
  </w:num>
  <w:num w:numId="11" w16cid:durableId="572087662">
    <w:abstractNumId w:val="4"/>
  </w:num>
  <w:num w:numId="12" w16cid:durableId="433089812">
    <w:abstractNumId w:val="10"/>
  </w:num>
  <w:num w:numId="13" w16cid:durableId="391196552">
    <w:abstractNumId w:val="8"/>
  </w:num>
  <w:num w:numId="14" w16cid:durableId="496270576">
    <w:abstractNumId w:val="6"/>
  </w:num>
  <w:num w:numId="15" w16cid:durableId="189800432">
    <w:abstractNumId w:val="5"/>
  </w:num>
  <w:num w:numId="16" w16cid:durableId="443232296">
    <w:abstractNumId w:val="12"/>
  </w:num>
  <w:num w:numId="17" w16cid:durableId="937444416">
    <w:abstractNumId w:val="20"/>
  </w:num>
  <w:num w:numId="18" w16cid:durableId="1079862384">
    <w:abstractNumId w:val="15"/>
  </w:num>
  <w:num w:numId="19" w16cid:durableId="1853907650">
    <w:abstractNumId w:val="19"/>
  </w:num>
  <w:num w:numId="20" w16cid:durableId="978462575">
    <w:abstractNumId w:val="9"/>
  </w:num>
  <w:num w:numId="21" w16cid:durableId="463696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B1C70"/>
    <w:rsid w:val="000075AC"/>
    <w:rsid w:val="0001169C"/>
    <w:rsid w:val="00021F2E"/>
    <w:rsid w:val="00053850"/>
    <w:rsid w:val="00062711"/>
    <w:rsid w:val="00065767"/>
    <w:rsid w:val="00085BC5"/>
    <w:rsid w:val="00095985"/>
    <w:rsid w:val="000964BC"/>
    <w:rsid w:val="000E1E5F"/>
    <w:rsid w:val="000E7BFF"/>
    <w:rsid w:val="000F18E1"/>
    <w:rsid w:val="000F3239"/>
    <w:rsid w:val="000F3474"/>
    <w:rsid w:val="00103979"/>
    <w:rsid w:val="00112332"/>
    <w:rsid w:val="001250AE"/>
    <w:rsid w:val="001343F1"/>
    <w:rsid w:val="00151DFE"/>
    <w:rsid w:val="001726DF"/>
    <w:rsid w:val="00176388"/>
    <w:rsid w:val="00196E0A"/>
    <w:rsid w:val="00197B92"/>
    <w:rsid w:val="001A6A20"/>
    <w:rsid w:val="001D144D"/>
    <w:rsid w:val="001E3FA9"/>
    <w:rsid w:val="00203C4A"/>
    <w:rsid w:val="00205578"/>
    <w:rsid w:val="00222204"/>
    <w:rsid w:val="002326BD"/>
    <w:rsid w:val="00236B0F"/>
    <w:rsid w:val="00251F50"/>
    <w:rsid w:val="00270EF9"/>
    <w:rsid w:val="00274314"/>
    <w:rsid w:val="00275047"/>
    <w:rsid w:val="00281D25"/>
    <w:rsid w:val="00297B2F"/>
    <w:rsid w:val="002B1F63"/>
    <w:rsid w:val="002B35DA"/>
    <w:rsid w:val="002B62C6"/>
    <w:rsid w:val="002C438B"/>
    <w:rsid w:val="002E19C2"/>
    <w:rsid w:val="002E50D2"/>
    <w:rsid w:val="00343A48"/>
    <w:rsid w:val="00347386"/>
    <w:rsid w:val="00364761"/>
    <w:rsid w:val="0036618A"/>
    <w:rsid w:val="003A5C67"/>
    <w:rsid w:val="003B5C57"/>
    <w:rsid w:val="003B7627"/>
    <w:rsid w:val="003C079A"/>
    <w:rsid w:val="003C29AD"/>
    <w:rsid w:val="003D3D51"/>
    <w:rsid w:val="00401F4C"/>
    <w:rsid w:val="00414273"/>
    <w:rsid w:val="00437B2A"/>
    <w:rsid w:val="00437FBA"/>
    <w:rsid w:val="004448B7"/>
    <w:rsid w:val="0047099F"/>
    <w:rsid w:val="004722EF"/>
    <w:rsid w:val="00473CF0"/>
    <w:rsid w:val="00491A73"/>
    <w:rsid w:val="004C6156"/>
    <w:rsid w:val="004D5A66"/>
    <w:rsid w:val="004E049C"/>
    <w:rsid w:val="004E698A"/>
    <w:rsid w:val="004F14C9"/>
    <w:rsid w:val="004F43E9"/>
    <w:rsid w:val="0050618B"/>
    <w:rsid w:val="00517BAD"/>
    <w:rsid w:val="005267D8"/>
    <w:rsid w:val="00541DD7"/>
    <w:rsid w:val="0054664F"/>
    <w:rsid w:val="00556B83"/>
    <w:rsid w:val="00557F78"/>
    <w:rsid w:val="00565ACC"/>
    <w:rsid w:val="005A2D58"/>
    <w:rsid w:val="005A3744"/>
    <w:rsid w:val="005A6FC6"/>
    <w:rsid w:val="005B1C70"/>
    <w:rsid w:val="005D58EB"/>
    <w:rsid w:val="005F3EF1"/>
    <w:rsid w:val="005F7F37"/>
    <w:rsid w:val="0060685C"/>
    <w:rsid w:val="0061364E"/>
    <w:rsid w:val="00633CA9"/>
    <w:rsid w:val="00634869"/>
    <w:rsid w:val="00640BB0"/>
    <w:rsid w:val="006447E2"/>
    <w:rsid w:val="00646D13"/>
    <w:rsid w:val="00655F7F"/>
    <w:rsid w:val="006562D1"/>
    <w:rsid w:val="006617CB"/>
    <w:rsid w:val="006736D2"/>
    <w:rsid w:val="00691BC8"/>
    <w:rsid w:val="00696E3C"/>
    <w:rsid w:val="00697690"/>
    <w:rsid w:val="00697A0B"/>
    <w:rsid w:val="006B0ADC"/>
    <w:rsid w:val="006B388D"/>
    <w:rsid w:val="006C602C"/>
    <w:rsid w:val="006F14DD"/>
    <w:rsid w:val="00705A03"/>
    <w:rsid w:val="007075A1"/>
    <w:rsid w:val="00710E34"/>
    <w:rsid w:val="0071108F"/>
    <w:rsid w:val="00717AD8"/>
    <w:rsid w:val="00723CAF"/>
    <w:rsid w:val="007442B6"/>
    <w:rsid w:val="00761BB7"/>
    <w:rsid w:val="00762CAC"/>
    <w:rsid w:val="00782546"/>
    <w:rsid w:val="007A212E"/>
    <w:rsid w:val="007A3F32"/>
    <w:rsid w:val="007A403C"/>
    <w:rsid w:val="007C131E"/>
    <w:rsid w:val="007D13EE"/>
    <w:rsid w:val="007D6685"/>
    <w:rsid w:val="007D75BC"/>
    <w:rsid w:val="00805A38"/>
    <w:rsid w:val="00865524"/>
    <w:rsid w:val="00891E09"/>
    <w:rsid w:val="0089770F"/>
    <w:rsid w:val="008A169E"/>
    <w:rsid w:val="008B1FAB"/>
    <w:rsid w:val="008C4547"/>
    <w:rsid w:val="008C76E9"/>
    <w:rsid w:val="008D5DA1"/>
    <w:rsid w:val="008D6188"/>
    <w:rsid w:val="008F7605"/>
    <w:rsid w:val="00902247"/>
    <w:rsid w:val="00910A97"/>
    <w:rsid w:val="009115EE"/>
    <w:rsid w:val="00937F68"/>
    <w:rsid w:val="00944738"/>
    <w:rsid w:val="0095646D"/>
    <w:rsid w:val="0097059C"/>
    <w:rsid w:val="00976C6F"/>
    <w:rsid w:val="00982B85"/>
    <w:rsid w:val="00992F98"/>
    <w:rsid w:val="009B6F4D"/>
    <w:rsid w:val="00A03B99"/>
    <w:rsid w:val="00A245AB"/>
    <w:rsid w:val="00A41AA3"/>
    <w:rsid w:val="00A44E58"/>
    <w:rsid w:val="00A54CAE"/>
    <w:rsid w:val="00A60F09"/>
    <w:rsid w:val="00A6564C"/>
    <w:rsid w:val="00A65B75"/>
    <w:rsid w:val="00A7100A"/>
    <w:rsid w:val="00AB4359"/>
    <w:rsid w:val="00AC0F8E"/>
    <w:rsid w:val="00AD3ECE"/>
    <w:rsid w:val="00AD630C"/>
    <w:rsid w:val="00AE16B8"/>
    <w:rsid w:val="00AF5F9D"/>
    <w:rsid w:val="00B00B14"/>
    <w:rsid w:val="00B04FD5"/>
    <w:rsid w:val="00B14182"/>
    <w:rsid w:val="00B236F8"/>
    <w:rsid w:val="00B27C98"/>
    <w:rsid w:val="00B345B5"/>
    <w:rsid w:val="00B43184"/>
    <w:rsid w:val="00B43849"/>
    <w:rsid w:val="00B631CE"/>
    <w:rsid w:val="00BA3D77"/>
    <w:rsid w:val="00BD0C4F"/>
    <w:rsid w:val="00BD2AE6"/>
    <w:rsid w:val="00BD2BAC"/>
    <w:rsid w:val="00BE033A"/>
    <w:rsid w:val="00BF475A"/>
    <w:rsid w:val="00C37646"/>
    <w:rsid w:val="00C42576"/>
    <w:rsid w:val="00C51869"/>
    <w:rsid w:val="00C53127"/>
    <w:rsid w:val="00C60706"/>
    <w:rsid w:val="00C64230"/>
    <w:rsid w:val="00C662FE"/>
    <w:rsid w:val="00C744A6"/>
    <w:rsid w:val="00CA047E"/>
    <w:rsid w:val="00CA59AA"/>
    <w:rsid w:val="00CC5985"/>
    <w:rsid w:val="00CF0FB5"/>
    <w:rsid w:val="00D00316"/>
    <w:rsid w:val="00D253CB"/>
    <w:rsid w:val="00D31982"/>
    <w:rsid w:val="00D32A24"/>
    <w:rsid w:val="00D45B3E"/>
    <w:rsid w:val="00D47E2F"/>
    <w:rsid w:val="00D61787"/>
    <w:rsid w:val="00D63A06"/>
    <w:rsid w:val="00D77068"/>
    <w:rsid w:val="00D85C0F"/>
    <w:rsid w:val="00DA1374"/>
    <w:rsid w:val="00DA2207"/>
    <w:rsid w:val="00DA7EAA"/>
    <w:rsid w:val="00DD7566"/>
    <w:rsid w:val="00E07B50"/>
    <w:rsid w:val="00E22C09"/>
    <w:rsid w:val="00E30B83"/>
    <w:rsid w:val="00E71D1F"/>
    <w:rsid w:val="00E72839"/>
    <w:rsid w:val="00E9075D"/>
    <w:rsid w:val="00EA5CFA"/>
    <w:rsid w:val="00EC17EA"/>
    <w:rsid w:val="00EC68A6"/>
    <w:rsid w:val="00EC765C"/>
    <w:rsid w:val="00EC7ED1"/>
    <w:rsid w:val="00F210A9"/>
    <w:rsid w:val="00F35927"/>
    <w:rsid w:val="00F456BF"/>
    <w:rsid w:val="00F471F8"/>
    <w:rsid w:val="00F66E69"/>
    <w:rsid w:val="00F7629F"/>
    <w:rsid w:val="00FA7687"/>
    <w:rsid w:val="00FC401F"/>
    <w:rsid w:val="00FC7841"/>
    <w:rsid w:val="00FD0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21DC"/>
  <w15:chartTrackingRefBased/>
  <w15:docId w15:val="{490402DB-6C0D-4F65-91C3-834D6D04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1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697690"/>
    <w:pPr>
      <w:ind w:left="720"/>
      <w:contextualSpacing/>
    </w:p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6562D1"/>
  </w:style>
  <w:style w:type="paragraph" w:styleId="FootnoteText">
    <w:name w:val="footnote text"/>
    <w:basedOn w:val="Normal"/>
    <w:link w:val="FootnoteTextChar"/>
    <w:semiHidden/>
    <w:unhideWhenUsed/>
    <w:rsid w:val="00D253CB"/>
    <w:pPr>
      <w:spacing w:after="0" w:line="240" w:lineRule="auto"/>
    </w:pPr>
    <w:rPr>
      <w:sz w:val="20"/>
      <w:szCs w:val="20"/>
    </w:rPr>
  </w:style>
  <w:style w:type="character" w:customStyle="1" w:styleId="FootnoteTextChar">
    <w:name w:val="Footnote Text Char"/>
    <w:basedOn w:val="DefaultParagraphFont"/>
    <w:link w:val="FootnoteText"/>
    <w:semiHidden/>
    <w:rsid w:val="00D253CB"/>
    <w:rPr>
      <w:sz w:val="20"/>
      <w:szCs w:val="20"/>
    </w:rPr>
  </w:style>
  <w:style w:type="character" w:styleId="FootnoteReference">
    <w:name w:val="footnote reference"/>
    <w:basedOn w:val="DefaultParagraphFont"/>
    <w:semiHidden/>
    <w:unhideWhenUsed/>
    <w:rsid w:val="00D253CB"/>
    <w:rPr>
      <w:vertAlign w:val="superscript"/>
    </w:rPr>
  </w:style>
  <w:style w:type="character" w:styleId="Strong">
    <w:name w:val="Strong"/>
    <w:uiPriority w:val="22"/>
    <w:qFormat/>
    <w:rsid w:val="00D253CB"/>
    <w:rPr>
      <w:b/>
      <w:bCs/>
    </w:rPr>
  </w:style>
  <w:style w:type="paragraph" w:styleId="Header">
    <w:name w:val="header"/>
    <w:basedOn w:val="Normal"/>
    <w:link w:val="HeaderChar"/>
    <w:uiPriority w:val="99"/>
    <w:unhideWhenUsed/>
    <w:rsid w:val="00D25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3CB"/>
  </w:style>
  <w:style w:type="paragraph" w:styleId="Footer">
    <w:name w:val="footer"/>
    <w:basedOn w:val="Normal"/>
    <w:link w:val="FooterChar"/>
    <w:uiPriority w:val="99"/>
    <w:unhideWhenUsed/>
    <w:rsid w:val="00D25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3CB"/>
  </w:style>
  <w:style w:type="paragraph" w:styleId="BalloonText">
    <w:name w:val="Balloon Text"/>
    <w:basedOn w:val="Normal"/>
    <w:link w:val="BalloonTextChar"/>
    <w:uiPriority w:val="99"/>
    <w:semiHidden/>
    <w:unhideWhenUsed/>
    <w:rsid w:val="000E7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BFF"/>
    <w:rPr>
      <w:rFonts w:ascii="Segoe UI" w:hAnsi="Segoe UI" w:cs="Segoe UI"/>
      <w:sz w:val="18"/>
      <w:szCs w:val="18"/>
    </w:rPr>
  </w:style>
  <w:style w:type="paragraph" w:styleId="Revision">
    <w:name w:val="Revision"/>
    <w:hidden/>
    <w:uiPriority w:val="99"/>
    <w:semiHidden/>
    <w:rsid w:val="00222204"/>
    <w:pPr>
      <w:spacing w:after="0" w:line="240" w:lineRule="auto"/>
    </w:pPr>
  </w:style>
  <w:style w:type="character" w:styleId="CommentReference">
    <w:name w:val="annotation reference"/>
    <w:basedOn w:val="DefaultParagraphFont"/>
    <w:uiPriority w:val="99"/>
    <w:semiHidden/>
    <w:unhideWhenUsed/>
    <w:rsid w:val="00C42576"/>
    <w:rPr>
      <w:sz w:val="16"/>
      <w:szCs w:val="16"/>
    </w:rPr>
  </w:style>
  <w:style w:type="paragraph" w:styleId="CommentText">
    <w:name w:val="annotation text"/>
    <w:basedOn w:val="Normal"/>
    <w:link w:val="CommentTextChar"/>
    <w:uiPriority w:val="99"/>
    <w:semiHidden/>
    <w:unhideWhenUsed/>
    <w:rsid w:val="00C42576"/>
    <w:pPr>
      <w:spacing w:line="240" w:lineRule="auto"/>
    </w:pPr>
    <w:rPr>
      <w:sz w:val="20"/>
      <w:szCs w:val="20"/>
    </w:rPr>
  </w:style>
  <w:style w:type="character" w:customStyle="1" w:styleId="CommentTextChar">
    <w:name w:val="Comment Text Char"/>
    <w:basedOn w:val="DefaultParagraphFont"/>
    <w:link w:val="CommentText"/>
    <w:uiPriority w:val="99"/>
    <w:semiHidden/>
    <w:rsid w:val="00C425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C57F-886E-4E17-9A1A-A2F8DF7D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SEGUNDO MELERO Eva (EEAS-GENEVA)</dc:creator>
  <cp:keywords/>
  <dc:description/>
  <cp:lastModifiedBy>KROLAK Natalia (EEAS-GENEVA)</cp:lastModifiedBy>
  <cp:revision>10</cp:revision>
  <cp:lastPrinted>2025-05-14T11:06:00Z</cp:lastPrinted>
  <dcterms:created xsi:type="dcterms:W3CDTF">2026-05-26T08:18:00Z</dcterms:created>
  <dcterms:modified xsi:type="dcterms:W3CDTF">2026-05-27T14:58:00Z</dcterms:modified>
</cp:coreProperties>
</file>