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96FD" w14:textId="3A901968" w:rsidR="00B14B2D" w:rsidRPr="008C3439" w:rsidRDefault="00B14B2D" w:rsidP="00790BDB">
      <w:pPr>
        <w:pBdr>
          <w:bottom w:val="single" w:sz="4" w:space="1" w:color="auto"/>
        </w:pBdr>
        <w:jc w:val="center"/>
        <w:rPr>
          <w:color w:val="0070C0"/>
        </w:rPr>
      </w:pPr>
      <w:r w:rsidRPr="008C3439">
        <w:rPr>
          <w:b/>
          <w:bCs/>
          <w:color w:val="0070C0"/>
        </w:rPr>
        <w:t xml:space="preserve">Statement on </w:t>
      </w:r>
      <w:r w:rsidR="00790BDB" w:rsidRPr="00790BDB">
        <w:rPr>
          <w:b/>
          <w:bCs/>
          <w:color w:val="0070C0"/>
        </w:rPr>
        <w:t>Gender Focal Points</w:t>
      </w:r>
    </w:p>
    <w:p w14:paraId="2BF855D5" w14:textId="77777777" w:rsidR="00B14B2D" w:rsidRPr="008C3439" w:rsidRDefault="00B14B2D" w:rsidP="00B14B2D">
      <w:pPr>
        <w:pBdr>
          <w:bottom w:val="single" w:sz="4" w:space="1" w:color="auto"/>
        </w:pBdr>
        <w:jc w:val="center"/>
        <w:rPr>
          <w:color w:val="0070C0"/>
        </w:rPr>
      </w:pPr>
      <w:r w:rsidRPr="008C3439">
        <w:rPr>
          <w:b/>
          <w:bCs/>
          <w:color w:val="0070C0"/>
        </w:rPr>
        <w:t>Arms Trade Treaty Informal Preparatory Meeting</w:t>
      </w:r>
    </w:p>
    <w:p w14:paraId="710191C3" w14:textId="77777777" w:rsidR="00B14B2D" w:rsidRPr="003D2556" w:rsidRDefault="00B14B2D" w:rsidP="00B14B2D">
      <w:pPr>
        <w:pBdr>
          <w:bottom w:val="single" w:sz="4" w:space="1" w:color="auto"/>
        </w:pBdr>
        <w:jc w:val="center"/>
      </w:pPr>
      <w:r w:rsidRPr="008C3439">
        <w:rPr>
          <w:b/>
          <w:bCs/>
          <w:color w:val="0070C0"/>
        </w:rPr>
        <w:t>28 May 2026</w:t>
      </w:r>
    </w:p>
    <w:p w14:paraId="6441C752" w14:textId="77777777" w:rsidR="00B14B2D" w:rsidRPr="003D2556" w:rsidRDefault="00B14B2D" w:rsidP="00B14B2D">
      <w:pPr>
        <w:jc w:val="both"/>
      </w:pPr>
      <w:r w:rsidRPr="003D2556">
        <w:t xml:space="preserve">On behalf of </w:t>
      </w:r>
      <w:r>
        <w:t>Maat</w:t>
      </w:r>
      <w:r w:rsidRPr="003D2556">
        <w:t xml:space="preserve"> for Peace, Development and Human Rights, we would like to express our sincere thanks to Mexico, Togo, and Spain for their efforts to strengthen the role of gender coordination bodies.</w:t>
      </w:r>
    </w:p>
    <w:p w14:paraId="4A887AC4" w14:textId="77777777" w:rsidR="00B14B2D" w:rsidRPr="003D2556" w:rsidRDefault="00B14B2D" w:rsidP="00B14B2D">
      <w:pPr>
        <w:jc w:val="both"/>
      </w:pPr>
      <w:r w:rsidRPr="003D2556">
        <w:t>Irresponsible arms transfers and diversion contribute to an increase in gender-based sexual violence in the context of armed conflicts. In such situations, weapons are used to threaten victims and compel them to submit, or to impose sexual slavery and mass rape as a military tactic intended to humiliate communities and weaken them.</w:t>
      </w:r>
    </w:p>
    <w:p w14:paraId="70DA9335" w14:textId="77777777" w:rsidR="00B14B2D" w:rsidRPr="003D2556" w:rsidRDefault="00B14B2D" w:rsidP="00B14B2D">
      <w:pPr>
        <w:jc w:val="both"/>
      </w:pPr>
      <w:r w:rsidRPr="003D2556">
        <w:t>Among the most prominent examples of this phenomenon is the Democratic Republic of the Congo. For decades, arms transfers to armed groups such as the March 23 Movement (M23) have fueled mass rape and other forms of gender-based sexual violence as instruments of war.</w:t>
      </w:r>
    </w:p>
    <w:p w14:paraId="0C4E4893" w14:textId="77777777" w:rsidR="00B14B2D" w:rsidRPr="003D2556" w:rsidRDefault="00B14B2D" w:rsidP="00B14B2D">
      <w:pPr>
        <w:jc w:val="both"/>
      </w:pPr>
      <w:r w:rsidRPr="003D2556">
        <w:t>In Sudan, the diversion of arms to the Rapid Support Forces has contributed to the commission of gender-based sexual violence in Darfur and other areas affected by conflict, in particular mass rape and sexual slavery.</w:t>
      </w:r>
    </w:p>
    <w:p w14:paraId="3242EDAB" w14:textId="77777777" w:rsidR="00B14B2D" w:rsidRPr="003D2556" w:rsidRDefault="00B14B2D" w:rsidP="00B14B2D">
      <w:pPr>
        <w:jc w:val="both"/>
      </w:pPr>
      <w:r w:rsidRPr="003D2556">
        <w:t>In the Occupied Palestinian Territory and the Gaza Strip, Israeli occupation forces have systematically used sexual, reproductive, and gender-based violence as part of a broader strategy aimed at weakening Palestinians. This has included increasing the destruction of reproductive health-care facilities in Gaza, which is considered an act of genocide under the Genocide Convention. These crimes are not limited to direct rape; they also include forced nudity, threats of rape, and sexual harassment carried out as routine practices during arrests and raids, all under the threat of weapons.</w:t>
      </w:r>
    </w:p>
    <w:p w14:paraId="4CA490C9" w14:textId="77777777" w:rsidR="00B14B2D" w:rsidRPr="003D2556" w:rsidRDefault="00B14B2D" w:rsidP="00B14B2D">
      <w:pPr>
        <w:jc w:val="both"/>
      </w:pPr>
      <w:r w:rsidRPr="003D2556">
        <w:t>In light of the above</w:t>
      </w:r>
      <w:r>
        <w:t xml:space="preserve">, </w:t>
      </w:r>
      <w:r w:rsidRPr="003D2556">
        <w:t>and in view of the responsibilities that gender coordination bodies are expected to carry out within the framework of the Arms Trade Treaty</w:t>
      </w:r>
      <w:r>
        <w:t>, Maat</w:t>
      </w:r>
      <w:r w:rsidRPr="003D2556">
        <w:t xml:space="preserve"> proposes several ideas to strengthen their role in limiting the ability of States Parties’ arms transfers to reach end-users </w:t>
      </w:r>
      <w:r>
        <w:t>who</w:t>
      </w:r>
      <w:r w:rsidRPr="003D2556">
        <w:t xml:space="preserve"> could use them to commit crimes of violence against women:</w:t>
      </w:r>
    </w:p>
    <w:p w14:paraId="60535CCA" w14:textId="77777777" w:rsidR="00B14B2D" w:rsidRPr="00183CB4" w:rsidRDefault="00B14B2D" w:rsidP="00B14B2D">
      <w:pPr>
        <w:numPr>
          <w:ilvl w:val="0"/>
          <w:numId w:val="6"/>
        </w:numPr>
        <w:spacing w:before="0" w:beforeAutospacing="0" w:after="160" w:afterAutospacing="0" w:line="278" w:lineRule="auto"/>
        <w:jc w:val="both"/>
      </w:pPr>
      <w:r w:rsidRPr="00183CB4">
        <w:t>Gender focal points should work towards establishing a dedicated information hub for the Arms Trade Treaty to serve as a centralized platform on the Secretariat’s website, or as a dedicated electronic platform, for the collection and dissemination of all documents, tools</w:t>
      </w:r>
      <w:r>
        <w:t>,</w:t>
      </w:r>
      <w:r w:rsidRPr="00183CB4">
        <w:t xml:space="preserve"> and resources related to the gender perspective and gender-based violence. Such a hub could facilitate the compilation of all reports relating to acts of sexual violence committed by armed groups and terrorist movements, with a view to conducting rapid, evidence-based risk assessments pursuant to article 7 (4), thereby contributing to the denial of arms transfers that may reach armed groups. The hub could further </w:t>
      </w:r>
      <w:r w:rsidRPr="00183CB4">
        <w:lastRenderedPageBreak/>
        <w:t xml:space="preserve">enable civil society organizations to submit survivors’ testimonies, as well as verified photographs and video footage, thereby enhancing transparency and preventing the diversion of arms into the hands of perpetrators implicated in grave abuses. </w:t>
      </w:r>
    </w:p>
    <w:p w14:paraId="791B8F31" w14:textId="77777777" w:rsidR="00B14B2D" w:rsidRPr="00183CB4" w:rsidRDefault="00B14B2D" w:rsidP="00B14B2D">
      <w:pPr>
        <w:numPr>
          <w:ilvl w:val="0"/>
          <w:numId w:val="6"/>
        </w:numPr>
        <w:spacing w:before="0" w:beforeAutospacing="0" w:after="160" w:afterAutospacing="0" w:line="278" w:lineRule="auto"/>
        <w:jc w:val="both"/>
      </w:pPr>
      <w:r w:rsidRPr="00183CB4">
        <w:t xml:space="preserve">Gender focal points should facilitate the exchange of information among States Parties regarding gender-related risk assessments arising from irresponsible arms transfers. Information-sharing could take place among States possessing advanced expertise in integrating gender-based violence assessments into export control systems, with a view to preventing arms transfers that may contribute to the escalation of sexual violence in conflict-affected areas in the future. Consideration could also be given to the incorporation of reports issued by civil society organizations into assessment processes within export control systems. </w:t>
      </w:r>
    </w:p>
    <w:p w14:paraId="31513487" w14:textId="77777777" w:rsidR="00B14B2D" w:rsidRPr="00183CB4" w:rsidRDefault="00B14B2D" w:rsidP="00B14B2D">
      <w:pPr>
        <w:numPr>
          <w:ilvl w:val="0"/>
          <w:numId w:val="6"/>
        </w:numPr>
        <w:spacing w:before="0" w:beforeAutospacing="0" w:after="160" w:afterAutospacing="0" w:line="278" w:lineRule="auto"/>
        <w:jc w:val="both"/>
      </w:pPr>
      <w:r w:rsidRPr="00183CB4">
        <w:t xml:space="preserve">Coordination and partnerships within the framework of the Arms Trade Treaty, as well as across the broader agendas relating to disarmament, human rights, youth, peace and security, constitute one of the principal responsibilities of focal points. In this regard, such mechanisms could be utilized and coordinated with </w:t>
      </w:r>
      <w:r>
        <w:t>to</w:t>
      </w:r>
      <w:r w:rsidRPr="00183CB4">
        <w:t xml:space="preserve"> identify the direct relationship between the flow of arms and the prevalence of sexual violations in conflict-affected States. This may be achieved through the exchange of information with relevant United Nations entities, including through the review of joint reports on the matter and the organization of joint meetings for discussion and coordination. </w:t>
      </w:r>
    </w:p>
    <w:p w14:paraId="23DA7A75" w14:textId="482F200D" w:rsidR="00D62B29" w:rsidRPr="00B14B2D" w:rsidRDefault="00D62B29" w:rsidP="00B14B2D"/>
    <w:sectPr w:rsidR="00D62B29" w:rsidRPr="00B14B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A4AB" w14:textId="77777777" w:rsidR="00D82E48" w:rsidRDefault="00D82E48" w:rsidP="00DF2277">
      <w:pPr>
        <w:spacing w:before="0" w:after="0"/>
      </w:pPr>
      <w:r>
        <w:separator/>
      </w:r>
    </w:p>
  </w:endnote>
  <w:endnote w:type="continuationSeparator" w:id="0">
    <w:p w14:paraId="0B34BD0D" w14:textId="77777777" w:rsidR="00D82E48" w:rsidRDefault="00D82E48"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jawal">
    <w:altName w:val="Arial"/>
    <w:panose1 w:val="020B0604020202020204"/>
    <w:charset w:val="00"/>
    <w:family w:val="auto"/>
    <w:pitch w:val="variable"/>
    <w:sig w:usb0="8000202F" w:usb1="90002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5E13" w14:textId="76764E05" w:rsidR="00703E98" w:rsidRDefault="00703E98">
    <w:pPr>
      <w:pStyle w:val="Footer"/>
    </w:pPr>
  </w:p>
  <w:p w14:paraId="53FF31AC" w14:textId="339C1FAF" w:rsidR="00703E98" w:rsidRDefault="00703E98">
    <w:pPr>
      <w:pStyle w:val="Footer"/>
    </w:pPr>
    <w:r w:rsidRPr="006B714E">
      <w:rPr>
        <w:b/>
        <w:bCs/>
        <w:noProof/>
      </w:rPr>
      <w:drawing>
        <wp:anchor distT="0" distB="0" distL="114300" distR="114300" simplePos="0" relativeHeight="251661312" behindDoc="1" locked="0" layoutInCell="1" allowOverlap="1" wp14:anchorId="26FB65B5" wp14:editId="4C06C781">
          <wp:simplePos x="0" y="0"/>
          <wp:positionH relativeFrom="page">
            <wp:posOffset>-50104</wp:posOffset>
          </wp:positionH>
          <wp:positionV relativeFrom="paragraph">
            <wp:posOffset>229618</wp:posOffset>
          </wp:positionV>
          <wp:extent cx="8066064" cy="63817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1" cstate="print">
                    <a:extLst>
                      <a:ext uri="{28A0092B-C50C-407E-A947-70E740481C1C}">
                        <a14:useLocalDpi xmlns:a14="http://schemas.microsoft.com/office/drawing/2010/main" val="0"/>
                      </a:ext>
                    </a:extLst>
                  </a:blip>
                  <a:srcRect l="3247" t="96152" r="-3247" b="-2793"/>
                  <a:stretch/>
                </pic:blipFill>
                <pic:spPr bwMode="auto">
                  <a:xfrm>
                    <a:off x="0" y="0"/>
                    <a:ext cx="8175571" cy="646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8B66" w14:textId="77777777" w:rsidR="00D82E48" w:rsidRDefault="00D82E48" w:rsidP="00DF2277">
      <w:pPr>
        <w:spacing w:before="0" w:after="0"/>
      </w:pPr>
      <w:r>
        <w:separator/>
      </w:r>
    </w:p>
  </w:footnote>
  <w:footnote w:type="continuationSeparator" w:id="0">
    <w:p w14:paraId="70F910DC" w14:textId="77777777" w:rsidR="00D82E48" w:rsidRDefault="00D82E48"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E949" w14:textId="58317220" w:rsidR="00703E98" w:rsidRDefault="00703E98">
    <w:pPr>
      <w:pStyle w:val="Header"/>
      <w:rPr>
        <w:rtl/>
      </w:rPr>
    </w:pPr>
    <w:r w:rsidRPr="00C641DA">
      <w:rPr>
        <w:rFonts w:hint="cs"/>
        <w:noProof/>
        <w:sz w:val="28"/>
        <w:szCs w:val="28"/>
      </w:rPr>
      <w:drawing>
        <wp:anchor distT="0" distB="0" distL="114300" distR="114300" simplePos="0" relativeHeight="251659264" behindDoc="0" locked="0" layoutInCell="1" allowOverlap="1" wp14:anchorId="27D54253" wp14:editId="18516B7E">
          <wp:simplePos x="0" y="0"/>
          <wp:positionH relativeFrom="column">
            <wp:posOffset>-526415</wp:posOffset>
          </wp:positionH>
          <wp:positionV relativeFrom="paragraph">
            <wp:posOffset>55880</wp:posOffset>
          </wp:positionV>
          <wp:extent cx="1139825" cy="884555"/>
          <wp:effectExtent l="0" t="0" r="3175" b="4445"/>
          <wp:wrapSquare wrapText="bothSides"/>
          <wp:docPr id="909495891" name="Picture 90949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353" b="11993"/>
                  <a:stretch/>
                </pic:blipFill>
                <pic:spPr bwMode="auto">
                  <a:xfrm>
                    <a:off x="0" y="0"/>
                    <a:ext cx="1139825" cy="884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0BD998" w14:textId="6073DEA6" w:rsidR="00703E98" w:rsidRDefault="00703E98">
    <w:pPr>
      <w:pStyle w:val="Header"/>
      <w:rPr>
        <w:rtl/>
      </w:rPr>
    </w:pPr>
  </w:p>
  <w:p w14:paraId="3A044539" w14:textId="77777777" w:rsidR="00703E98" w:rsidRDefault="00703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C64"/>
    <w:multiLevelType w:val="multilevel"/>
    <w:tmpl w:val="188860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202BC"/>
    <w:multiLevelType w:val="hybridMultilevel"/>
    <w:tmpl w:val="4D508BA4"/>
    <w:lvl w:ilvl="0" w:tplc="F3BE56F4">
      <w:numFmt w:val="bullet"/>
      <w:lvlText w:val="-"/>
      <w:lvlJc w:val="left"/>
      <w:pPr>
        <w:ind w:left="720" w:hanging="360"/>
      </w:pPr>
      <w:rPr>
        <w:rFonts w:ascii="Tajawal" w:eastAsiaTheme="minorHAnsi" w:hAnsi="Tajawal" w:cs="Tajaw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4"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34EF4"/>
    <w:multiLevelType w:val="multilevel"/>
    <w:tmpl w:val="4C66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866293">
    <w:abstractNumId w:val="1"/>
  </w:num>
  <w:num w:numId="2" w16cid:durableId="1850872269">
    <w:abstractNumId w:val="4"/>
  </w:num>
  <w:num w:numId="3" w16cid:durableId="1865365167">
    <w:abstractNumId w:val="3"/>
  </w:num>
  <w:num w:numId="4" w16cid:durableId="207572046">
    <w:abstractNumId w:val="5"/>
  </w:num>
  <w:num w:numId="5" w16cid:durableId="1178616569">
    <w:abstractNumId w:val="2"/>
  </w:num>
  <w:num w:numId="6" w16cid:durableId="151731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169AC"/>
    <w:rsid w:val="0002260A"/>
    <w:rsid w:val="000358C2"/>
    <w:rsid w:val="0004308B"/>
    <w:rsid w:val="000B0BDF"/>
    <w:rsid w:val="000E02F9"/>
    <w:rsid w:val="000F082C"/>
    <w:rsid w:val="000F789A"/>
    <w:rsid w:val="00100326"/>
    <w:rsid w:val="00103273"/>
    <w:rsid w:val="00121569"/>
    <w:rsid w:val="001554FB"/>
    <w:rsid w:val="0016713B"/>
    <w:rsid w:val="00185812"/>
    <w:rsid w:val="00190A54"/>
    <w:rsid w:val="001A1D19"/>
    <w:rsid w:val="001A5612"/>
    <w:rsid w:val="001B6008"/>
    <w:rsid w:val="001F0BE9"/>
    <w:rsid w:val="001F150C"/>
    <w:rsid w:val="0021491A"/>
    <w:rsid w:val="00214B98"/>
    <w:rsid w:val="002569EC"/>
    <w:rsid w:val="00276D48"/>
    <w:rsid w:val="002B100F"/>
    <w:rsid w:val="002B2A19"/>
    <w:rsid w:val="002F711D"/>
    <w:rsid w:val="00316EF5"/>
    <w:rsid w:val="00325857"/>
    <w:rsid w:val="00344CF2"/>
    <w:rsid w:val="00345979"/>
    <w:rsid w:val="00361FA9"/>
    <w:rsid w:val="0038764B"/>
    <w:rsid w:val="0039528E"/>
    <w:rsid w:val="003A2B01"/>
    <w:rsid w:val="003A3AFD"/>
    <w:rsid w:val="003B6B3C"/>
    <w:rsid w:val="00430EBC"/>
    <w:rsid w:val="004312FA"/>
    <w:rsid w:val="00440CB4"/>
    <w:rsid w:val="00452C06"/>
    <w:rsid w:val="004667C0"/>
    <w:rsid w:val="004710C2"/>
    <w:rsid w:val="004B4006"/>
    <w:rsid w:val="004F5686"/>
    <w:rsid w:val="004F70F7"/>
    <w:rsid w:val="00544C20"/>
    <w:rsid w:val="00553320"/>
    <w:rsid w:val="00592658"/>
    <w:rsid w:val="005C568E"/>
    <w:rsid w:val="005D53C4"/>
    <w:rsid w:val="005E7B8B"/>
    <w:rsid w:val="005F281C"/>
    <w:rsid w:val="00615403"/>
    <w:rsid w:val="006412DE"/>
    <w:rsid w:val="00662562"/>
    <w:rsid w:val="00674E47"/>
    <w:rsid w:val="00703E98"/>
    <w:rsid w:val="0072718D"/>
    <w:rsid w:val="00733B13"/>
    <w:rsid w:val="00755A7D"/>
    <w:rsid w:val="00771301"/>
    <w:rsid w:val="00790BDB"/>
    <w:rsid w:val="007979F5"/>
    <w:rsid w:val="007C1DE3"/>
    <w:rsid w:val="00801EFE"/>
    <w:rsid w:val="00817544"/>
    <w:rsid w:val="008319BC"/>
    <w:rsid w:val="00841DC6"/>
    <w:rsid w:val="008957E1"/>
    <w:rsid w:val="008A3FA7"/>
    <w:rsid w:val="008B27D8"/>
    <w:rsid w:val="008C4998"/>
    <w:rsid w:val="008C5B00"/>
    <w:rsid w:val="008D2C45"/>
    <w:rsid w:val="008D4CC2"/>
    <w:rsid w:val="008E175D"/>
    <w:rsid w:val="008F74CB"/>
    <w:rsid w:val="00900E2D"/>
    <w:rsid w:val="009064D8"/>
    <w:rsid w:val="009152BE"/>
    <w:rsid w:val="00934F75"/>
    <w:rsid w:val="0094308D"/>
    <w:rsid w:val="009562B5"/>
    <w:rsid w:val="009911E7"/>
    <w:rsid w:val="009A0E5B"/>
    <w:rsid w:val="009C556A"/>
    <w:rsid w:val="00A0701F"/>
    <w:rsid w:val="00A12B74"/>
    <w:rsid w:val="00A50855"/>
    <w:rsid w:val="00A53993"/>
    <w:rsid w:val="00A55994"/>
    <w:rsid w:val="00A67311"/>
    <w:rsid w:val="00A91728"/>
    <w:rsid w:val="00A95A8B"/>
    <w:rsid w:val="00AB4536"/>
    <w:rsid w:val="00AD19C8"/>
    <w:rsid w:val="00AE1319"/>
    <w:rsid w:val="00AE2013"/>
    <w:rsid w:val="00AE5081"/>
    <w:rsid w:val="00AF32B2"/>
    <w:rsid w:val="00B14B2D"/>
    <w:rsid w:val="00B1791E"/>
    <w:rsid w:val="00B21E4B"/>
    <w:rsid w:val="00B3086D"/>
    <w:rsid w:val="00B37BCD"/>
    <w:rsid w:val="00B40E2F"/>
    <w:rsid w:val="00B52855"/>
    <w:rsid w:val="00B926B7"/>
    <w:rsid w:val="00B94F32"/>
    <w:rsid w:val="00C37AA8"/>
    <w:rsid w:val="00C5136B"/>
    <w:rsid w:val="00C65458"/>
    <w:rsid w:val="00CA28D0"/>
    <w:rsid w:val="00CB22AA"/>
    <w:rsid w:val="00CC5D72"/>
    <w:rsid w:val="00D01A3D"/>
    <w:rsid w:val="00D26CD8"/>
    <w:rsid w:val="00D62B29"/>
    <w:rsid w:val="00D63F09"/>
    <w:rsid w:val="00D673C1"/>
    <w:rsid w:val="00D8029C"/>
    <w:rsid w:val="00D82E48"/>
    <w:rsid w:val="00DC03BE"/>
    <w:rsid w:val="00DE137A"/>
    <w:rsid w:val="00DE4C50"/>
    <w:rsid w:val="00DF2277"/>
    <w:rsid w:val="00DF6403"/>
    <w:rsid w:val="00DF6750"/>
    <w:rsid w:val="00E00AC9"/>
    <w:rsid w:val="00E27AFD"/>
    <w:rsid w:val="00E3332F"/>
    <w:rsid w:val="00E452CB"/>
    <w:rsid w:val="00E85839"/>
    <w:rsid w:val="00EC543E"/>
    <w:rsid w:val="00ED5F2D"/>
    <w:rsid w:val="00EE1B78"/>
    <w:rsid w:val="00EE62DD"/>
    <w:rsid w:val="00F05A63"/>
    <w:rsid w:val="00F0713A"/>
    <w:rsid w:val="00F27508"/>
    <w:rsid w:val="00F46210"/>
    <w:rsid w:val="00F52FB4"/>
    <w:rsid w:val="00F53F0B"/>
    <w:rsid w:val="00F56F47"/>
    <w:rsid w:val="00FA37D6"/>
    <w:rsid w:val="00FA439B"/>
    <w:rsid w:val="00FA46EE"/>
    <w:rsid w:val="00FA60FC"/>
    <w:rsid w:val="00FB2600"/>
    <w:rsid w:val="00FD2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8B"/>
  </w:style>
  <w:style w:type="paragraph" w:styleId="Heading1">
    <w:name w:val="heading 1"/>
    <w:basedOn w:val="Normal"/>
    <w:next w:val="Normal"/>
    <w:link w:val="Heading1Char"/>
    <w:uiPriority w:val="9"/>
    <w:qFormat/>
    <w:rsid w:val="008D2C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AE2013"/>
    <w:rPr>
      <w:b/>
      <w:bCs/>
    </w:rPr>
  </w:style>
  <w:style w:type="character" w:customStyle="1" w:styleId="Heading1Char">
    <w:name w:val="Heading 1 Char"/>
    <w:basedOn w:val="DefaultParagraphFont"/>
    <w:link w:val="Heading1"/>
    <w:uiPriority w:val="9"/>
    <w:rsid w:val="008D2C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113">
      <w:bodyDiv w:val="1"/>
      <w:marLeft w:val="0"/>
      <w:marRight w:val="0"/>
      <w:marTop w:val="0"/>
      <w:marBottom w:val="0"/>
      <w:divBdr>
        <w:top w:val="none" w:sz="0" w:space="0" w:color="auto"/>
        <w:left w:val="none" w:sz="0" w:space="0" w:color="auto"/>
        <w:bottom w:val="none" w:sz="0" w:space="0" w:color="auto"/>
        <w:right w:val="none" w:sz="0" w:space="0" w:color="auto"/>
      </w:divBdr>
    </w:div>
    <w:div w:id="25180584">
      <w:bodyDiv w:val="1"/>
      <w:marLeft w:val="0"/>
      <w:marRight w:val="0"/>
      <w:marTop w:val="0"/>
      <w:marBottom w:val="0"/>
      <w:divBdr>
        <w:top w:val="none" w:sz="0" w:space="0" w:color="auto"/>
        <w:left w:val="none" w:sz="0" w:space="0" w:color="auto"/>
        <w:bottom w:val="none" w:sz="0" w:space="0" w:color="auto"/>
        <w:right w:val="none" w:sz="0" w:space="0" w:color="auto"/>
      </w:divBdr>
    </w:div>
    <w:div w:id="39208911">
      <w:bodyDiv w:val="1"/>
      <w:marLeft w:val="0"/>
      <w:marRight w:val="0"/>
      <w:marTop w:val="0"/>
      <w:marBottom w:val="0"/>
      <w:divBdr>
        <w:top w:val="none" w:sz="0" w:space="0" w:color="auto"/>
        <w:left w:val="none" w:sz="0" w:space="0" w:color="auto"/>
        <w:bottom w:val="none" w:sz="0" w:space="0" w:color="auto"/>
        <w:right w:val="none" w:sz="0" w:space="0" w:color="auto"/>
      </w:divBdr>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4663224">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261686512">
      <w:bodyDiv w:val="1"/>
      <w:marLeft w:val="0"/>
      <w:marRight w:val="0"/>
      <w:marTop w:val="0"/>
      <w:marBottom w:val="0"/>
      <w:divBdr>
        <w:top w:val="none" w:sz="0" w:space="0" w:color="auto"/>
        <w:left w:val="none" w:sz="0" w:space="0" w:color="auto"/>
        <w:bottom w:val="none" w:sz="0" w:space="0" w:color="auto"/>
        <w:right w:val="none" w:sz="0" w:space="0" w:color="auto"/>
      </w:divBdr>
      <w:divsChild>
        <w:div w:id="102147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2421">
      <w:bodyDiv w:val="1"/>
      <w:marLeft w:val="0"/>
      <w:marRight w:val="0"/>
      <w:marTop w:val="0"/>
      <w:marBottom w:val="0"/>
      <w:divBdr>
        <w:top w:val="none" w:sz="0" w:space="0" w:color="auto"/>
        <w:left w:val="none" w:sz="0" w:space="0" w:color="auto"/>
        <w:bottom w:val="none" w:sz="0" w:space="0" w:color="auto"/>
        <w:right w:val="none" w:sz="0" w:space="0" w:color="auto"/>
      </w:divBdr>
    </w:div>
    <w:div w:id="298729833">
      <w:bodyDiv w:val="1"/>
      <w:marLeft w:val="0"/>
      <w:marRight w:val="0"/>
      <w:marTop w:val="0"/>
      <w:marBottom w:val="0"/>
      <w:divBdr>
        <w:top w:val="none" w:sz="0" w:space="0" w:color="auto"/>
        <w:left w:val="none" w:sz="0" w:space="0" w:color="auto"/>
        <w:bottom w:val="none" w:sz="0" w:space="0" w:color="auto"/>
        <w:right w:val="none" w:sz="0" w:space="0" w:color="auto"/>
      </w:divBdr>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5224">
      <w:bodyDiv w:val="1"/>
      <w:marLeft w:val="0"/>
      <w:marRight w:val="0"/>
      <w:marTop w:val="0"/>
      <w:marBottom w:val="0"/>
      <w:divBdr>
        <w:top w:val="none" w:sz="0" w:space="0" w:color="auto"/>
        <w:left w:val="none" w:sz="0" w:space="0" w:color="auto"/>
        <w:bottom w:val="none" w:sz="0" w:space="0" w:color="auto"/>
        <w:right w:val="none" w:sz="0" w:space="0" w:color="auto"/>
      </w:divBdr>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23003221">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684870215">
      <w:bodyDiv w:val="1"/>
      <w:marLeft w:val="0"/>
      <w:marRight w:val="0"/>
      <w:marTop w:val="0"/>
      <w:marBottom w:val="0"/>
      <w:divBdr>
        <w:top w:val="none" w:sz="0" w:space="0" w:color="auto"/>
        <w:left w:val="none" w:sz="0" w:space="0" w:color="auto"/>
        <w:bottom w:val="none" w:sz="0" w:space="0" w:color="auto"/>
        <w:right w:val="none" w:sz="0" w:space="0" w:color="auto"/>
      </w:divBdr>
    </w:div>
    <w:div w:id="700667467">
      <w:bodyDiv w:val="1"/>
      <w:marLeft w:val="0"/>
      <w:marRight w:val="0"/>
      <w:marTop w:val="0"/>
      <w:marBottom w:val="0"/>
      <w:divBdr>
        <w:top w:val="none" w:sz="0" w:space="0" w:color="auto"/>
        <w:left w:val="none" w:sz="0" w:space="0" w:color="auto"/>
        <w:bottom w:val="none" w:sz="0" w:space="0" w:color="auto"/>
        <w:right w:val="none" w:sz="0" w:space="0" w:color="auto"/>
      </w:divBdr>
    </w:div>
    <w:div w:id="712459721">
      <w:bodyDiv w:val="1"/>
      <w:marLeft w:val="0"/>
      <w:marRight w:val="0"/>
      <w:marTop w:val="0"/>
      <w:marBottom w:val="0"/>
      <w:divBdr>
        <w:top w:val="none" w:sz="0" w:space="0" w:color="auto"/>
        <w:left w:val="none" w:sz="0" w:space="0" w:color="auto"/>
        <w:bottom w:val="none" w:sz="0" w:space="0" w:color="auto"/>
        <w:right w:val="none" w:sz="0" w:space="0" w:color="auto"/>
      </w:divBdr>
    </w:div>
    <w:div w:id="744031298">
      <w:bodyDiv w:val="1"/>
      <w:marLeft w:val="0"/>
      <w:marRight w:val="0"/>
      <w:marTop w:val="0"/>
      <w:marBottom w:val="0"/>
      <w:divBdr>
        <w:top w:val="none" w:sz="0" w:space="0" w:color="auto"/>
        <w:left w:val="none" w:sz="0" w:space="0" w:color="auto"/>
        <w:bottom w:val="none" w:sz="0" w:space="0" w:color="auto"/>
        <w:right w:val="none" w:sz="0" w:space="0" w:color="auto"/>
      </w:divBdr>
    </w:div>
    <w:div w:id="763382381">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1002469737">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465466398">
      <w:bodyDiv w:val="1"/>
      <w:marLeft w:val="0"/>
      <w:marRight w:val="0"/>
      <w:marTop w:val="0"/>
      <w:marBottom w:val="0"/>
      <w:divBdr>
        <w:top w:val="none" w:sz="0" w:space="0" w:color="auto"/>
        <w:left w:val="none" w:sz="0" w:space="0" w:color="auto"/>
        <w:bottom w:val="none" w:sz="0" w:space="0" w:color="auto"/>
        <w:right w:val="none" w:sz="0" w:space="0" w:color="auto"/>
      </w:divBdr>
    </w:div>
    <w:div w:id="1519418599">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05112983">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4418">
      <w:bodyDiv w:val="1"/>
      <w:marLeft w:val="0"/>
      <w:marRight w:val="0"/>
      <w:marTop w:val="0"/>
      <w:marBottom w:val="0"/>
      <w:divBdr>
        <w:top w:val="none" w:sz="0" w:space="0" w:color="auto"/>
        <w:left w:val="none" w:sz="0" w:space="0" w:color="auto"/>
        <w:bottom w:val="none" w:sz="0" w:space="0" w:color="auto"/>
        <w:right w:val="none" w:sz="0" w:space="0" w:color="auto"/>
      </w:divBdr>
    </w:div>
    <w:div w:id="1655453316">
      <w:bodyDiv w:val="1"/>
      <w:marLeft w:val="0"/>
      <w:marRight w:val="0"/>
      <w:marTop w:val="0"/>
      <w:marBottom w:val="0"/>
      <w:divBdr>
        <w:top w:val="none" w:sz="0" w:space="0" w:color="auto"/>
        <w:left w:val="none" w:sz="0" w:space="0" w:color="auto"/>
        <w:bottom w:val="none" w:sz="0" w:space="0" w:color="auto"/>
        <w:right w:val="none" w:sz="0" w:space="0" w:color="auto"/>
      </w:divBdr>
    </w:div>
    <w:div w:id="1658655530">
      <w:bodyDiv w:val="1"/>
      <w:marLeft w:val="0"/>
      <w:marRight w:val="0"/>
      <w:marTop w:val="0"/>
      <w:marBottom w:val="0"/>
      <w:divBdr>
        <w:top w:val="none" w:sz="0" w:space="0" w:color="auto"/>
        <w:left w:val="none" w:sz="0" w:space="0" w:color="auto"/>
        <w:bottom w:val="none" w:sz="0" w:space="0" w:color="auto"/>
        <w:right w:val="none" w:sz="0" w:space="0" w:color="auto"/>
      </w:divBdr>
    </w:div>
    <w:div w:id="1689671658">
      <w:bodyDiv w:val="1"/>
      <w:marLeft w:val="0"/>
      <w:marRight w:val="0"/>
      <w:marTop w:val="0"/>
      <w:marBottom w:val="0"/>
      <w:divBdr>
        <w:top w:val="none" w:sz="0" w:space="0" w:color="auto"/>
        <w:left w:val="none" w:sz="0" w:space="0" w:color="auto"/>
        <w:bottom w:val="none" w:sz="0" w:space="0" w:color="auto"/>
        <w:right w:val="none" w:sz="0" w:space="0" w:color="auto"/>
      </w:divBdr>
    </w:div>
    <w:div w:id="1704282708">
      <w:bodyDiv w:val="1"/>
      <w:marLeft w:val="0"/>
      <w:marRight w:val="0"/>
      <w:marTop w:val="0"/>
      <w:marBottom w:val="0"/>
      <w:divBdr>
        <w:top w:val="none" w:sz="0" w:space="0" w:color="auto"/>
        <w:left w:val="none" w:sz="0" w:space="0" w:color="auto"/>
        <w:bottom w:val="none" w:sz="0" w:space="0" w:color="auto"/>
        <w:right w:val="none" w:sz="0" w:space="0" w:color="auto"/>
      </w:divBdr>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77869190">
      <w:bodyDiv w:val="1"/>
      <w:marLeft w:val="0"/>
      <w:marRight w:val="0"/>
      <w:marTop w:val="0"/>
      <w:marBottom w:val="0"/>
      <w:divBdr>
        <w:top w:val="none" w:sz="0" w:space="0" w:color="auto"/>
        <w:left w:val="none" w:sz="0" w:space="0" w:color="auto"/>
        <w:bottom w:val="none" w:sz="0" w:space="0" w:color="auto"/>
        <w:right w:val="none" w:sz="0" w:space="0" w:color="auto"/>
      </w:divBdr>
    </w:div>
    <w:div w:id="1806697288">
      <w:bodyDiv w:val="1"/>
      <w:marLeft w:val="0"/>
      <w:marRight w:val="0"/>
      <w:marTop w:val="0"/>
      <w:marBottom w:val="0"/>
      <w:divBdr>
        <w:top w:val="none" w:sz="0" w:space="0" w:color="auto"/>
        <w:left w:val="none" w:sz="0" w:space="0" w:color="auto"/>
        <w:bottom w:val="none" w:sz="0" w:space="0" w:color="auto"/>
        <w:right w:val="none" w:sz="0" w:space="0" w:color="auto"/>
      </w:divBdr>
    </w:div>
    <w:div w:id="1842815986">
      <w:bodyDiv w:val="1"/>
      <w:marLeft w:val="0"/>
      <w:marRight w:val="0"/>
      <w:marTop w:val="0"/>
      <w:marBottom w:val="0"/>
      <w:divBdr>
        <w:top w:val="none" w:sz="0" w:space="0" w:color="auto"/>
        <w:left w:val="none" w:sz="0" w:space="0" w:color="auto"/>
        <w:bottom w:val="none" w:sz="0" w:space="0" w:color="auto"/>
        <w:right w:val="none" w:sz="0" w:space="0" w:color="auto"/>
      </w:divBdr>
    </w:div>
    <w:div w:id="2069913901">
      <w:bodyDiv w:val="1"/>
      <w:marLeft w:val="0"/>
      <w:marRight w:val="0"/>
      <w:marTop w:val="0"/>
      <w:marBottom w:val="0"/>
      <w:divBdr>
        <w:top w:val="none" w:sz="0" w:space="0" w:color="auto"/>
        <w:left w:val="none" w:sz="0" w:space="0" w:color="auto"/>
        <w:bottom w:val="none" w:sz="0" w:space="0" w:color="auto"/>
        <w:right w:val="none" w:sz="0" w:space="0" w:color="auto"/>
      </w:divBdr>
    </w:div>
    <w:div w:id="2100250013">
      <w:bodyDiv w:val="1"/>
      <w:marLeft w:val="0"/>
      <w:marRight w:val="0"/>
      <w:marTop w:val="0"/>
      <w:marBottom w:val="0"/>
      <w:divBdr>
        <w:top w:val="none" w:sz="0" w:space="0" w:color="auto"/>
        <w:left w:val="none" w:sz="0" w:space="0" w:color="auto"/>
        <w:bottom w:val="none" w:sz="0" w:space="0" w:color="auto"/>
        <w:right w:val="none" w:sz="0" w:space="0" w:color="auto"/>
      </w:divBdr>
    </w:div>
    <w:div w:id="2104957707">
      <w:bodyDiv w:val="1"/>
      <w:marLeft w:val="0"/>
      <w:marRight w:val="0"/>
      <w:marTop w:val="0"/>
      <w:marBottom w:val="0"/>
      <w:divBdr>
        <w:top w:val="none" w:sz="0" w:space="0" w:color="auto"/>
        <w:left w:val="none" w:sz="0" w:space="0" w:color="auto"/>
        <w:bottom w:val="none" w:sz="0" w:space="0" w:color="auto"/>
        <w:right w:val="none" w:sz="0" w:space="0" w:color="auto"/>
      </w:divBdr>
    </w:div>
    <w:div w:id="2125727246">
      <w:bodyDiv w:val="1"/>
      <w:marLeft w:val="0"/>
      <w:marRight w:val="0"/>
      <w:marTop w:val="0"/>
      <w:marBottom w:val="0"/>
      <w:divBdr>
        <w:top w:val="none" w:sz="0" w:space="0" w:color="auto"/>
        <w:left w:val="none" w:sz="0" w:space="0" w:color="auto"/>
        <w:bottom w:val="none" w:sz="0" w:space="0" w:color="auto"/>
        <w:right w:val="none" w:sz="0" w:space="0" w:color="auto"/>
      </w:divBdr>
      <w:divsChild>
        <w:div w:id="116663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Microsoft Office User</cp:lastModifiedBy>
  <cp:revision>3</cp:revision>
  <dcterms:created xsi:type="dcterms:W3CDTF">2026-05-16T01:16:00Z</dcterms:created>
  <dcterms:modified xsi:type="dcterms:W3CDTF">2026-05-16T12:41:00Z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